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41D3B787" w:rsidR="00A160B2" w:rsidRDefault="00CC2663" w:rsidP="00A160B2">
      <w:pPr>
        <w:spacing w:after="480"/>
      </w:pPr>
      <w:r>
        <w:rPr>
          <w:noProof/>
        </w:rPr>
        <w:drawing>
          <wp:inline distT="0" distB="0" distL="0" distR="0" wp14:anchorId="72347AAD" wp14:editId="6253275F">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tbl>
      <w:tblPr>
        <w:tblStyle w:val="Style1"/>
        <w:tblW w:w="0" w:type="auto"/>
        <w:tblLook w:val="0000" w:firstRow="0" w:lastRow="0" w:firstColumn="0" w:lastColumn="0" w:noHBand="0" w:noVBand="0"/>
      </w:tblPr>
      <w:tblGrid>
        <w:gridCol w:w="3388"/>
        <w:gridCol w:w="4921"/>
      </w:tblGrid>
      <w:tr w:rsidR="00A160B2" w14:paraId="3E9231EB" w14:textId="77777777" w:rsidTr="00CC2663">
        <w:trPr>
          <w:tblHeader/>
        </w:trPr>
        <w:tc>
          <w:tcPr>
            <w:tcW w:w="3388" w:type="dxa"/>
            <w:tcBorders>
              <w:top w:val="single" w:sz="18" w:space="0" w:color="auto"/>
              <w:bottom w:val="single" w:sz="18" w:space="0" w:color="auto"/>
            </w:tcBorders>
          </w:tcPr>
          <w:p w14:paraId="2EDC0AA9" w14:textId="309DFE1C" w:rsidR="00A160B2" w:rsidRPr="00B805DB" w:rsidRDefault="00CC2663" w:rsidP="00603EC9">
            <w:pPr>
              <w:pStyle w:val="Heading1"/>
              <w:spacing w:after="240"/>
            </w:pPr>
            <w:r>
              <w:t>REPORT F</w:t>
            </w:r>
            <w:r w:rsidRPr="00C869F3">
              <w:t>OR:</w:t>
            </w:r>
          </w:p>
        </w:tc>
        <w:tc>
          <w:tcPr>
            <w:tcW w:w="4921" w:type="dxa"/>
            <w:tcBorders>
              <w:top w:val="single" w:sz="18" w:space="0" w:color="auto"/>
              <w:bottom w:val="single" w:sz="18" w:space="0" w:color="auto"/>
            </w:tcBorders>
          </w:tcPr>
          <w:p w14:paraId="6E67C462" w14:textId="494DC99F" w:rsidR="00A160B2" w:rsidRDefault="00784A42" w:rsidP="00784A42">
            <w:pPr>
              <w:pStyle w:val="Heading1"/>
            </w:pPr>
            <w:r>
              <w:t>Pension</w:t>
            </w:r>
            <w:r w:rsidR="00D44272">
              <w:t>s Board</w:t>
            </w:r>
          </w:p>
          <w:p w14:paraId="55A88F66" w14:textId="45EE9F72" w:rsidR="00784A42" w:rsidRPr="00784A42" w:rsidRDefault="00784A42" w:rsidP="00784A42"/>
        </w:tc>
      </w:tr>
      <w:tr w:rsidR="00A160B2" w14:paraId="5281F5A9" w14:textId="77777777" w:rsidTr="00CC2663">
        <w:tc>
          <w:tcPr>
            <w:tcW w:w="3388" w:type="dxa"/>
            <w:tcBorders>
              <w:top w:val="single" w:sz="18" w:space="0" w:color="auto"/>
            </w:tcBorders>
          </w:tcPr>
          <w:p w14:paraId="1C16A2F0" w14:textId="77777777" w:rsidR="00CC2663" w:rsidRDefault="00CC2663" w:rsidP="00603EC9">
            <w:pPr>
              <w:pStyle w:val="Infotext"/>
              <w:rPr>
                <w:rFonts w:ascii="Arial Black" w:hAnsi="Arial Black"/>
              </w:rPr>
            </w:pPr>
          </w:p>
          <w:p w14:paraId="0991D380" w14:textId="18980C25" w:rsidR="00A160B2" w:rsidRPr="00F92398" w:rsidRDefault="00A160B2" w:rsidP="00603EC9">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03EC9">
            <w:pPr>
              <w:pStyle w:val="Infotext"/>
              <w:rPr>
                <w:rFonts w:ascii="Arial Black" w:hAnsi="Arial Black" w:cs="Arial"/>
              </w:rPr>
            </w:pPr>
          </w:p>
        </w:tc>
        <w:tc>
          <w:tcPr>
            <w:tcW w:w="4921" w:type="dxa"/>
            <w:tcBorders>
              <w:top w:val="single" w:sz="18" w:space="0" w:color="auto"/>
            </w:tcBorders>
          </w:tcPr>
          <w:p w14:paraId="28B3E655" w14:textId="77777777" w:rsidR="00CC2663" w:rsidRPr="00CC2663" w:rsidRDefault="00CC2663" w:rsidP="00603EC9">
            <w:pPr>
              <w:pStyle w:val="Infotext"/>
              <w:rPr>
                <w:rFonts w:cs="Arial"/>
                <w:sz w:val="30"/>
                <w:szCs w:val="30"/>
              </w:rPr>
            </w:pPr>
          </w:p>
          <w:p w14:paraId="495EBCE8" w14:textId="36AA4F06" w:rsidR="00A160B2" w:rsidRPr="00CC2663" w:rsidRDefault="00D44272" w:rsidP="00603EC9">
            <w:pPr>
              <w:pStyle w:val="Infotext"/>
              <w:rPr>
                <w:rFonts w:cs="Arial"/>
                <w:szCs w:val="28"/>
              </w:rPr>
            </w:pPr>
            <w:r>
              <w:rPr>
                <w:rFonts w:cs="Arial"/>
                <w:szCs w:val="28"/>
              </w:rPr>
              <w:t>30</w:t>
            </w:r>
            <w:r w:rsidR="001C5A26" w:rsidRPr="00CC2663">
              <w:rPr>
                <w:rFonts w:cs="Arial"/>
                <w:szCs w:val="28"/>
              </w:rPr>
              <w:t xml:space="preserve"> </w:t>
            </w:r>
            <w:r>
              <w:rPr>
                <w:rFonts w:cs="Arial"/>
                <w:szCs w:val="28"/>
              </w:rPr>
              <w:t>Octo</w:t>
            </w:r>
            <w:r w:rsidR="00F65E9D">
              <w:rPr>
                <w:rFonts w:cs="Arial"/>
                <w:szCs w:val="28"/>
              </w:rPr>
              <w:t>ber</w:t>
            </w:r>
            <w:r w:rsidR="00351F6B" w:rsidRPr="00CC2663">
              <w:rPr>
                <w:rFonts w:cs="Arial"/>
                <w:szCs w:val="28"/>
              </w:rPr>
              <w:t xml:space="preserve"> 2023</w:t>
            </w:r>
          </w:p>
        </w:tc>
      </w:tr>
      <w:tr w:rsidR="00A160B2" w14:paraId="79B879D4" w14:textId="77777777" w:rsidTr="007855AE">
        <w:tc>
          <w:tcPr>
            <w:tcW w:w="3388" w:type="dxa"/>
          </w:tcPr>
          <w:p w14:paraId="5EBA2504" w14:textId="77777777" w:rsidR="00A160B2" w:rsidRPr="00F92398" w:rsidRDefault="00A160B2" w:rsidP="00603EC9">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03EC9">
            <w:pPr>
              <w:pStyle w:val="Infotext"/>
              <w:rPr>
                <w:rFonts w:ascii="Arial Black" w:hAnsi="Arial Black"/>
              </w:rPr>
            </w:pPr>
          </w:p>
        </w:tc>
        <w:tc>
          <w:tcPr>
            <w:tcW w:w="4921" w:type="dxa"/>
          </w:tcPr>
          <w:p w14:paraId="5914456E" w14:textId="5368FF72" w:rsidR="00A160B2" w:rsidRDefault="00594A34" w:rsidP="00603EC9">
            <w:pPr>
              <w:pStyle w:val="Infotext"/>
              <w:rPr>
                <w:rFonts w:cs="Arial"/>
              </w:rPr>
            </w:pPr>
            <w:r>
              <w:rPr>
                <w:rFonts w:cs="Arial"/>
              </w:rPr>
              <w:t>London CIV and Investment Pooling Update</w:t>
            </w:r>
          </w:p>
        </w:tc>
      </w:tr>
      <w:tr w:rsidR="00A160B2" w14:paraId="3A5E0F07" w14:textId="77777777" w:rsidTr="007855AE">
        <w:tc>
          <w:tcPr>
            <w:tcW w:w="3388" w:type="dxa"/>
          </w:tcPr>
          <w:p w14:paraId="3526B74C" w14:textId="77777777" w:rsidR="00A160B2" w:rsidRPr="00F92398" w:rsidRDefault="00A160B2" w:rsidP="00603EC9">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03EC9">
            <w:pPr>
              <w:pStyle w:val="Infotext"/>
              <w:rPr>
                <w:rFonts w:ascii="Arial Black" w:hAnsi="Arial Black" w:cs="Arial"/>
              </w:rPr>
            </w:pPr>
          </w:p>
        </w:tc>
        <w:tc>
          <w:tcPr>
            <w:tcW w:w="4921" w:type="dxa"/>
          </w:tcPr>
          <w:p w14:paraId="3CF266C9" w14:textId="6D4C709F" w:rsidR="00A160B2" w:rsidRDefault="00837FA7" w:rsidP="00603EC9">
            <w:pPr>
              <w:pStyle w:val="Infotext"/>
              <w:rPr>
                <w:rFonts w:cs="Arial"/>
              </w:rPr>
            </w:pPr>
            <w:r>
              <w:rPr>
                <w:rFonts w:cs="Arial"/>
              </w:rPr>
              <w:t>Sharon Daniels</w:t>
            </w:r>
            <w:r w:rsidR="001C7629">
              <w:rPr>
                <w:rFonts w:cs="Arial"/>
              </w:rPr>
              <w:t xml:space="preserve"> – </w:t>
            </w:r>
            <w:r w:rsidR="00A144A3">
              <w:rPr>
                <w:rFonts w:cs="Arial"/>
              </w:rPr>
              <w:t>Interim</w:t>
            </w:r>
            <w:r>
              <w:rPr>
                <w:rFonts w:cs="Arial"/>
              </w:rPr>
              <w:t xml:space="preserve"> </w:t>
            </w:r>
            <w:r w:rsidR="001C7629">
              <w:rPr>
                <w:rFonts w:cs="Arial"/>
              </w:rPr>
              <w:t xml:space="preserve">Director of Finance and Assurance </w:t>
            </w:r>
          </w:p>
        </w:tc>
      </w:tr>
      <w:tr w:rsidR="00A160B2" w14:paraId="7AFCAE74" w14:textId="77777777" w:rsidTr="007855AE">
        <w:tc>
          <w:tcPr>
            <w:tcW w:w="3388" w:type="dxa"/>
          </w:tcPr>
          <w:p w14:paraId="4573497F" w14:textId="77777777" w:rsidR="00A160B2" w:rsidRPr="00F92398" w:rsidRDefault="00A160B2" w:rsidP="00603EC9">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03EC9">
            <w:pPr>
              <w:pStyle w:val="Infotext"/>
              <w:rPr>
                <w:rFonts w:ascii="Arial Black" w:hAnsi="Arial Black" w:cs="Arial"/>
              </w:rPr>
            </w:pPr>
          </w:p>
        </w:tc>
        <w:tc>
          <w:tcPr>
            <w:tcW w:w="4921" w:type="dxa"/>
          </w:tcPr>
          <w:p w14:paraId="4E1B1B9B" w14:textId="6BCDDB0C" w:rsidR="00594A34" w:rsidRPr="002B53EE" w:rsidRDefault="00594A34" w:rsidP="00594A34">
            <w:pPr>
              <w:jc w:val="both"/>
              <w:rPr>
                <w:rFonts w:cs="Arial"/>
                <w:sz w:val="28"/>
                <w:szCs w:val="28"/>
              </w:rPr>
            </w:pPr>
            <w:r>
              <w:rPr>
                <w:rFonts w:cs="Arial"/>
                <w:sz w:val="28"/>
                <w:szCs w:val="28"/>
              </w:rPr>
              <w:t xml:space="preserve">No </w:t>
            </w:r>
            <w:r w:rsidRPr="002B53EE">
              <w:rPr>
                <w:rFonts w:cs="Arial"/>
                <w:sz w:val="28"/>
                <w:szCs w:val="28"/>
              </w:rPr>
              <w:t xml:space="preserve">- except </w:t>
            </w:r>
            <w:r w:rsidRPr="00140D5A">
              <w:rPr>
                <w:rFonts w:cs="Arial"/>
                <w:sz w:val="28"/>
                <w:szCs w:val="28"/>
              </w:rPr>
              <w:t xml:space="preserve">for Appendices 1, 2 and 3 which are Exempt from publication under paragraph 3, Part 1 of Schedule 12A to the Local Government Act 1972 (as amended) as </w:t>
            </w:r>
            <w:r>
              <w:rPr>
                <w:rFonts w:cs="Arial"/>
                <w:sz w:val="28"/>
                <w:szCs w:val="28"/>
              </w:rPr>
              <w:t xml:space="preserve">each of these </w:t>
            </w:r>
            <w:r w:rsidRPr="002B53EE">
              <w:rPr>
                <w:rFonts w:cs="Arial"/>
                <w:sz w:val="28"/>
                <w:szCs w:val="28"/>
              </w:rPr>
              <w:t xml:space="preserve">contains information relating to the financial or business affairs of any </w:t>
            </w:r>
            <w:proofErr w:type="gramStart"/>
            <w:r w:rsidRPr="002B53EE">
              <w:rPr>
                <w:rFonts w:cs="Arial"/>
                <w:sz w:val="28"/>
                <w:szCs w:val="28"/>
              </w:rPr>
              <w:t>particular person</w:t>
            </w:r>
            <w:proofErr w:type="gramEnd"/>
            <w:r w:rsidRPr="002B53EE">
              <w:rPr>
                <w:rFonts w:cs="Arial"/>
                <w:sz w:val="28"/>
                <w:szCs w:val="28"/>
              </w:rPr>
              <w:t xml:space="preserve"> (including the authority holding that information)</w:t>
            </w:r>
          </w:p>
          <w:p w14:paraId="4C873B59" w14:textId="08A8C85C" w:rsidR="00A160B2" w:rsidRDefault="00A160B2" w:rsidP="00480F0B">
            <w:pPr>
              <w:pStyle w:val="Infotext"/>
              <w:rPr>
                <w:rFonts w:cs="Arial"/>
              </w:rPr>
            </w:pPr>
          </w:p>
        </w:tc>
      </w:tr>
      <w:tr w:rsidR="00A160B2" w14:paraId="521D9222" w14:textId="77777777" w:rsidTr="007855AE">
        <w:tc>
          <w:tcPr>
            <w:tcW w:w="3388" w:type="dxa"/>
          </w:tcPr>
          <w:p w14:paraId="4ABD9246" w14:textId="77777777" w:rsidR="00A160B2" w:rsidRDefault="00A160B2" w:rsidP="00603EC9">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03EC9">
            <w:pPr>
              <w:pStyle w:val="Infotext"/>
              <w:rPr>
                <w:rFonts w:ascii="Arial Black" w:hAnsi="Arial Black" w:cs="Arial"/>
              </w:rPr>
            </w:pPr>
          </w:p>
        </w:tc>
        <w:tc>
          <w:tcPr>
            <w:tcW w:w="4921" w:type="dxa"/>
          </w:tcPr>
          <w:p w14:paraId="7B906090" w14:textId="77777777" w:rsidR="00A160B2" w:rsidRDefault="00A160B2" w:rsidP="00603EC9">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425D312D" w:rsidR="00A160B2" w:rsidRDefault="00017448" w:rsidP="00603EC9">
            <w:pPr>
              <w:pStyle w:val="Infotext"/>
            </w:pPr>
            <w:r>
              <w:rPr>
                <w:b/>
              </w:rPr>
              <w:t>None</w:t>
            </w:r>
          </w:p>
        </w:tc>
      </w:tr>
      <w:tr w:rsidR="00A160B2" w14:paraId="7C35C184" w14:textId="77777777" w:rsidTr="005D43D1">
        <w:trPr>
          <w:trHeight w:val="4209"/>
        </w:trPr>
        <w:tc>
          <w:tcPr>
            <w:tcW w:w="3388" w:type="dxa"/>
          </w:tcPr>
          <w:p w14:paraId="537C01BC" w14:textId="77777777" w:rsidR="00A160B2" w:rsidRPr="00F92398" w:rsidRDefault="00A160B2" w:rsidP="00603EC9">
            <w:pPr>
              <w:pStyle w:val="Infotext"/>
              <w:rPr>
                <w:rFonts w:ascii="Arial Black" w:hAnsi="Arial Black" w:cs="Arial"/>
              </w:rPr>
            </w:pPr>
          </w:p>
          <w:p w14:paraId="575B6BE7" w14:textId="77777777" w:rsidR="00A160B2" w:rsidRPr="00F92398" w:rsidRDefault="00A160B2" w:rsidP="00603EC9">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03EC9">
            <w:pPr>
              <w:pStyle w:val="Infotext"/>
              <w:rPr>
                <w:rFonts w:ascii="Arial Black" w:hAnsi="Arial Black" w:cs="Arial"/>
              </w:rPr>
            </w:pPr>
          </w:p>
        </w:tc>
        <w:tc>
          <w:tcPr>
            <w:tcW w:w="4921" w:type="dxa"/>
          </w:tcPr>
          <w:p w14:paraId="71119F8F" w14:textId="77777777" w:rsidR="00A160B2" w:rsidRPr="005D43D1" w:rsidRDefault="00A160B2" w:rsidP="00603EC9">
            <w:pPr>
              <w:pStyle w:val="Infotext"/>
            </w:pPr>
          </w:p>
          <w:p w14:paraId="3269835C" w14:textId="398031D4" w:rsidR="00594A34" w:rsidRPr="00D720F1" w:rsidRDefault="00594A34" w:rsidP="00594A34">
            <w:pPr>
              <w:pStyle w:val="Infotext"/>
              <w:rPr>
                <w:szCs w:val="28"/>
              </w:rPr>
            </w:pPr>
            <w:r w:rsidRPr="00D720F1">
              <w:rPr>
                <w:szCs w:val="28"/>
              </w:rPr>
              <w:t xml:space="preserve">Appendix 1 – Exempt </w:t>
            </w:r>
            <w:r>
              <w:rPr>
                <w:szCs w:val="28"/>
              </w:rPr>
              <w:t xml:space="preserve">- LCIV </w:t>
            </w:r>
            <w:r w:rsidRPr="00D720F1">
              <w:rPr>
                <w:szCs w:val="28"/>
              </w:rPr>
              <w:t>Quarterly ACS Report to 3</w:t>
            </w:r>
            <w:r>
              <w:rPr>
                <w:szCs w:val="28"/>
              </w:rPr>
              <w:t>0</w:t>
            </w:r>
            <w:r w:rsidRPr="00D720F1">
              <w:rPr>
                <w:szCs w:val="28"/>
              </w:rPr>
              <w:t xml:space="preserve"> </w:t>
            </w:r>
            <w:r>
              <w:rPr>
                <w:szCs w:val="28"/>
              </w:rPr>
              <w:t>June</w:t>
            </w:r>
            <w:r w:rsidRPr="00D720F1">
              <w:rPr>
                <w:szCs w:val="28"/>
              </w:rPr>
              <w:t xml:space="preserve"> 202</w:t>
            </w:r>
            <w:r>
              <w:rPr>
                <w:szCs w:val="28"/>
              </w:rPr>
              <w:t>3</w:t>
            </w:r>
          </w:p>
          <w:p w14:paraId="14E13ADD" w14:textId="7935E1DB" w:rsidR="00594A34" w:rsidRPr="00D720F1" w:rsidRDefault="00594A34" w:rsidP="00594A34">
            <w:pPr>
              <w:pStyle w:val="Infotext"/>
              <w:rPr>
                <w:szCs w:val="28"/>
              </w:rPr>
            </w:pPr>
            <w:r w:rsidRPr="00D720F1">
              <w:rPr>
                <w:szCs w:val="28"/>
              </w:rPr>
              <w:t xml:space="preserve">Appendix 2 –Exempt - </w:t>
            </w:r>
            <w:r>
              <w:rPr>
                <w:szCs w:val="28"/>
              </w:rPr>
              <w:t xml:space="preserve">LCIV </w:t>
            </w:r>
            <w:r w:rsidRPr="00D720F1">
              <w:rPr>
                <w:szCs w:val="28"/>
              </w:rPr>
              <w:t>Quarterly Private Markets Report to 3</w:t>
            </w:r>
            <w:r w:rsidR="00A41E88">
              <w:rPr>
                <w:szCs w:val="28"/>
              </w:rPr>
              <w:t>1</w:t>
            </w:r>
            <w:r w:rsidRPr="00D720F1">
              <w:rPr>
                <w:szCs w:val="28"/>
              </w:rPr>
              <w:t xml:space="preserve"> </w:t>
            </w:r>
            <w:r w:rsidR="00A41E88">
              <w:rPr>
                <w:szCs w:val="28"/>
              </w:rPr>
              <w:t>March</w:t>
            </w:r>
            <w:r w:rsidRPr="00D720F1">
              <w:rPr>
                <w:szCs w:val="28"/>
              </w:rPr>
              <w:t xml:space="preserve"> 202</w:t>
            </w:r>
            <w:r>
              <w:rPr>
                <w:szCs w:val="28"/>
              </w:rPr>
              <w:t>3</w:t>
            </w:r>
          </w:p>
          <w:p w14:paraId="4C232B02" w14:textId="2BD9298F" w:rsidR="0082172F" w:rsidRPr="001A319C" w:rsidRDefault="00594A34" w:rsidP="00594A34">
            <w:pPr>
              <w:pStyle w:val="Infotext"/>
              <w:tabs>
                <w:tab w:val="center" w:pos="2352"/>
              </w:tabs>
              <w:rPr>
                <w:b/>
                <w:bCs/>
                <w:sz w:val="24"/>
                <w:szCs w:val="24"/>
              </w:rPr>
            </w:pPr>
            <w:r w:rsidRPr="00D720F1">
              <w:rPr>
                <w:szCs w:val="28"/>
              </w:rPr>
              <w:t xml:space="preserve">Appendix 3 – Exempt – </w:t>
            </w:r>
            <w:r w:rsidR="00A144A3">
              <w:rPr>
                <w:szCs w:val="28"/>
              </w:rPr>
              <w:t>LCIV Annual Review to</w:t>
            </w:r>
            <w:r w:rsidRPr="00D720F1">
              <w:rPr>
                <w:szCs w:val="28"/>
              </w:rPr>
              <w:t xml:space="preserve"> 31 March 202</w:t>
            </w:r>
            <w:r>
              <w:rPr>
                <w:szCs w:val="28"/>
              </w:rPr>
              <w:t>3</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2C9E4A81" w14:textId="1307B50F" w:rsidR="00A160B2" w:rsidRDefault="00594A34" w:rsidP="00F65E9D">
            <w:pPr>
              <w:jc w:val="both"/>
              <w:rPr>
                <w:rFonts w:cs="Arial"/>
                <w:szCs w:val="24"/>
                <w:lang w:eastAsia="en-GB"/>
              </w:rPr>
            </w:pPr>
            <w:r w:rsidRPr="00594A34">
              <w:rPr>
                <w:rFonts w:cs="Arial"/>
                <w:szCs w:val="24"/>
                <w:lang w:eastAsia="en-GB"/>
              </w:rPr>
              <w:t>This report provides an update for the Board on the current position on Investment Pooling and the LB</w:t>
            </w:r>
            <w:r>
              <w:rPr>
                <w:rFonts w:cs="Arial"/>
                <w:szCs w:val="24"/>
                <w:lang w:eastAsia="en-GB"/>
              </w:rPr>
              <w:t xml:space="preserve"> </w:t>
            </w:r>
            <w:r w:rsidRPr="00594A34">
              <w:rPr>
                <w:rFonts w:cs="Arial"/>
                <w:szCs w:val="24"/>
                <w:lang w:eastAsia="en-GB"/>
              </w:rPr>
              <w:t>H</w:t>
            </w:r>
            <w:r>
              <w:rPr>
                <w:rFonts w:cs="Arial"/>
                <w:szCs w:val="24"/>
                <w:lang w:eastAsia="en-GB"/>
              </w:rPr>
              <w:t>arrow</w:t>
            </w:r>
            <w:r w:rsidRPr="00594A34">
              <w:rPr>
                <w:rFonts w:cs="Arial"/>
                <w:szCs w:val="24"/>
                <w:lang w:eastAsia="en-GB"/>
              </w:rPr>
              <w:t xml:space="preserve"> Pension Fund’s own pooling arrangements with the London Collective Investment Vehicle.  </w:t>
            </w:r>
          </w:p>
          <w:p w14:paraId="08146FD1" w14:textId="77777777" w:rsidR="00594A34" w:rsidRDefault="00594A34" w:rsidP="00F65E9D">
            <w:pPr>
              <w:jc w:val="both"/>
              <w:rPr>
                <w:rFonts w:ascii="Arial Bold" w:hAnsi="Arial Bold"/>
                <w:b/>
                <w:sz w:val="28"/>
              </w:rPr>
            </w:pPr>
          </w:p>
          <w:p w14:paraId="4F9D0A08" w14:textId="77777777" w:rsidR="00A160B2" w:rsidRPr="00A160B2" w:rsidRDefault="00A160B2" w:rsidP="00F65E9D">
            <w:pPr>
              <w:jc w:val="both"/>
              <w:rPr>
                <w:rFonts w:ascii="Arial Bold" w:hAnsi="Arial Bold"/>
                <w:b/>
                <w:sz w:val="28"/>
              </w:rPr>
            </w:pPr>
            <w:r w:rsidRPr="00A160B2">
              <w:rPr>
                <w:rFonts w:ascii="Arial Bold" w:hAnsi="Arial Bold"/>
                <w:b/>
                <w:sz w:val="28"/>
              </w:rPr>
              <w:t xml:space="preserve">Recommendations: </w:t>
            </w:r>
          </w:p>
          <w:p w14:paraId="714CBDEE" w14:textId="7396F7B3" w:rsidR="00A160B2" w:rsidRDefault="00480F0B" w:rsidP="00F65E9D">
            <w:pPr>
              <w:jc w:val="both"/>
            </w:pPr>
            <w:r>
              <w:t xml:space="preserve">The Committee is </w:t>
            </w:r>
            <w:r>
              <w:rPr>
                <w:b/>
                <w:bCs/>
              </w:rPr>
              <w:t>recommended</w:t>
            </w:r>
            <w:r>
              <w:t xml:space="preserve"> to</w:t>
            </w:r>
            <w:r w:rsidR="00594A34" w:rsidRPr="00594A34">
              <w:t xml:space="preserve"> consider </w:t>
            </w:r>
            <w:r w:rsidR="00594A34">
              <w:t xml:space="preserve">and note </w:t>
            </w:r>
            <w:r w:rsidR="00594A34" w:rsidRPr="00594A34">
              <w:t>the report.</w:t>
            </w:r>
          </w:p>
        </w:tc>
      </w:tr>
    </w:tbl>
    <w:p w14:paraId="53DC7DE2" w14:textId="77777777" w:rsidR="002A2389" w:rsidRDefault="002A2389" w:rsidP="00A160B2">
      <w:pPr>
        <w:pStyle w:val="Heading2"/>
      </w:pPr>
      <w:r>
        <w:t>Section 2 – Report</w:t>
      </w:r>
    </w:p>
    <w:p w14:paraId="210822B5" w14:textId="77777777" w:rsidR="00594A34" w:rsidRDefault="00594A34" w:rsidP="00594A34">
      <w:pPr>
        <w:pStyle w:val="ListParagraph"/>
        <w:rPr>
          <w:szCs w:val="24"/>
        </w:rPr>
      </w:pPr>
    </w:p>
    <w:p w14:paraId="1ED6217C" w14:textId="77777777" w:rsidR="00594A34" w:rsidRDefault="00594A34" w:rsidP="00A144A3">
      <w:pPr>
        <w:numPr>
          <w:ilvl w:val="0"/>
          <w:numId w:val="2"/>
        </w:numPr>
        <w:tabs>
          <w:tab w:val="num" w:pos="284"/>
        </w:tabs>
        <w:ind w:left="284" w:hanging="851"/>
        <w:jc w:val="both"/>
      </w:pPr>
      <w:r w:rsidRPr="00594A34">
        <w:rPr>
          <w:rFonts w:cs="Arial"/>
          <w:szCs w:val="24"/>
        </w:rPr>
        <w:t xml:space="preserve">The LGPS (Investment and Management of Funds) Regulations 2016 set the framework within which LGPS pension funds are required to manage their investments. They are required to have an Investment Strategy Statement (ISS) – which sets out how the Fund will manage and invest its assets to enable it to meet its Funding Strategy. The Regulations require funds to include in the ISS how they will approach pooling of investments and use collective investment vehicles. Each Fund is required to be a member of a pool. </w:t>
      </w:r>
    </w:p>
    <w:p w14:paraId="17CF59D5" w14:textId="77777777" w:rsidR="00594A34" w:rsidRDefault="00594A34" w:rsidP="00594A34">
      <w:pPr>
        <w:pStyle w:val="ListParagraph"/>
      </w:pPr>
    </w:p>
    <w:p w14:paraId="68423ACC" w14:textId="2BDED315" w:rsidR="00594A34" w:rsidRDefault="00594A34" w:rsidP="00A144A3">
      <w:pPr>
        <w:numPr>
          <w:ilvl w:val="0"/>
          <w:numId w:val="2"/>
        </w:numPr>
        <w:tabs>
          <w:tab w:val="num" w:pos="284"/>
        </w:tabs>
        <w:ind w:left="284" w:hanging="851"/>
        <w:jc w:val="both"/>
      </w:pPr>
      <w:r>
        <w:t xml:space="preserve">The Government’s </w:t>
      </w:r>
      <w:proofErr w:type="gramStart"/>
      <w:r>
        <w:t>long term</w:t>
      </w:r>
      <w:proofErr w:type="gramEnd"/>
      <w:r>
        <w:t xml:space="preserve"> objective is that Funds should work towards a position where all LGPS investment assets are managed via pools – with Funds setting the Strategic Asset Allocation (i.e. deciding on what classes of investments Funds should be allocated - e.g. equities, bonds, etc - and whether they should be managed passively or actively) while the pools will select the asset managers within each category. To this end, the Statutory Guidance</w:t>
      </w:r>
      <w:r w:rsidR="00867CA3">
        <w:rPr>
          <w:rFonts w:cs="Arial"/>
          <w:szCs w:val="24"/>
        </w:rPr>
        <w:t xml:space="preserve"> on Preparing and Maintaining an Investment Strategy Statement </w:t>
      </w:r>
      <w:r>
        <w:t xml:space="preserve">(issued in 2016) states that </w:t>
      </w:r>
      <w:r w:rsidRPr="001A1D04">
        <w:t>“from 2020, funds should only make new investments outside of a pool in very limited circumstances”.</w:t>
      </w:r>
    </w:p>
    <w:p w14:paraId="4FD69C38" w14:textId="77777777" w:rsidR="00594A34" w:rsidRDefault="00594A34" w:rsidP="00594A34">
      <w:pPr>
        <w:pStyle w:val="ListParagraph"/>
        <w:rPr>
          <w:szCs w:val="24"/>
        </w:rPr>
      </w:pPr>
    </w:p>
    <w:p w14:paraId="5E9C7612" w14:textId="6A7BB62C" w:rsidR="00594A34" w:rsidRDefault="00594A34" w:rsidP="00A144A3">
      <w:pPr>
        <w:numPr>
          <w:ilvl w:val="0"/>
          <w:numId w:val="2"/>
        </w:numPr>
        <w:tabs>
          <w:tab w:val="num" w:pos="284"/>
        </w:tabs>
        <w:ind w:left="284" w:hanging="851"/>
        <w:jc w:val="both"/>
      </w:pPr>
      <w:r w:rsidRPr="00594A34">
        <w:rPr>
          <w:rFonts w:cs="Arial"/>
          <w:szCs w:val="24"/>
        </w:rPr>
        <w:t xml:space="preserve">The </w:t>
      </w:r>
      <w:r>
        <w:t xml:space="preserve">London Collective Investment Vehicle (LCIV) was set up by the London Boroughs in their roles as administering authorities for their respective pension funds. LCIV enables the various Funds to meet the Government’s requirements for pooling of investment assets. From the Harrow Pension Fund’s perspective, the scale of investments which LCIV oversees enables it to achieve two main </w:t>
      </w:r>
      <w:r w:rsidR="0007289E">
        <w:t>benefits.</w:t>
      </w:r>
      <w:r>
        <w:t xml:space="preserve"> </w:t>
      </w:r>
    </w:p>
    <w:p w14:paraId="314D8DE0" w14:textId="77777777" w:rsidR="00594A34" w:rsidRDefault="00594A34" w:rsidP="00594A34">
      <w:pPr>
        <w:pStyle w:val="ListParagraph"/>
      </w:pPr>
    </w:p>
    <w:p w14:paraId="07489216" w14:textId="77777777" w:rsidR="00594A34" w:rsidRDefault="00594A34" w:rsidP="00A144A3">
      <w:pPr>
        <w:numPr>
          <w:ilvl w:val="0"/>
          <w:numId w:val="5"/>
        </w:numPr>
      </w:pPr>
      <w:r>
        <w:t xml:space="preserve">the lower level of fees which CIV has negotiated, </w:t>
      </w:r>
    </w:p>
    <w:p w14:paraId="061902F4" w14:textId="2708B1C5" w:rsidR="00594A34" w:rsidRDefault="00594A34" w:rsidP="00A144A3">
      <w:pPr>
        <w:numPr>
          <w:ilvl w:val="0"/>
          <w:numId w:val="5"/>
        </w:numPr>
      </w:pPr>
      <w:r>
        <w:t>access to certain asset classes (</w:t>
      </w:r>
      <w:proofErr w:type="gramStart"/>
      <w:r>
        <w:t>e.g.</w:t>
      </w:r>
      <w:proofErr w:type="gramEnd"/>
      <w:r>
        <w:t xml:space="preserve"> Infrastructure, renewables infrastructure) which a Fund of Harrow’s size may not be large enough to access cost effectively on its own.</w:t>
      </w:r>
    </w:p>
    <w:p w14:paraId="139888BE" w14:textId="77777777" w:rsidR="0007289E" w:rsidRDefault="0007289E" w:rsidP="0007289E">
      <w:pPr>
        <w:ind w:left="681"/>
      </w:pPr>
    </w:p>
    <w:p w14:paraId="4208A8E9" w14:textId="77777777" w:rsidR="00594A34" w:rsidRDefault="00594A34" w:rsidP="00A144A3">
      <w:pPr>
        <w:numPr>
          <w:ilvl w:val="0"/>
          <w:numId w:val="2"/>
        </w:numPr>
        <w:tabs>
          <w:tab w:val="num" w:pos="284"/>
        </w:tabs>
        <w:ind w:left="284" w:hanging="851"/>
        <w:jc w:val="both"/>
      </w:pPr>
      <w:r>
        <w:t>Additionally, during 2021 and 2022, LBH has decided to replace two of its equity managers because of poor investment performance, and the availability of suitable managers / investment vehicles within LCIV removed the need for a specific manager selection exercise and hence reduced our costs and shortened the implementation timetable considerably once the investment decision had been made.</w:t>
      </w:r>
    </w:p>
    <w:p w14:paraId="13772A17" w14:textId="77777777" w:rsidR="00594A34" w:rsidRPr="00594A34" w:rsidRDefault="00594A34" w:rsidP="00594A34">
      <w:pPr>
        <w:ind w:left="284"/>
        <w:jc w:val="both"/>
      </w:pPr>
    </w:p>
    <w:p w14:paraId="78B468CE" w14:textId="2A622D78" w:rsidR="00594A34" w:rsidRDefault="00594A34" w:rsidP="00A144A3">
      <w:pPr>
        <w:numPr>
          <w:ilvl w:val="0"/>
          <w:numId w:val="2"/>
        </w:numPr>
        <w:tabs>
          <w:tab w:val="num" w:pos="284"/>
        </w:tabs>
        <w:ind w:left="284" w:hanging="851"/>
        <w:jc w:val="both"/>
      </w:pPr>
      <w:r w:rsidRPr="00594A34">
        <w:rPr>
          <w:rFonts w:cs="Arial"/>
          <w:szCs w:val="24"/>
        </w:rPr>
        <w:lastRenderedPageBreak/>
        <w:t>The London CIV, whilst owned by the London Boroughs’ Pension Funds, is regulated by the Financial Conduct Authority as an investment manager, and accordingly is required to meet the various regulatory and governance requirements of the FCA. LCIV does not manage the underlying investments directly – rather it has appointed a range of Fund managers in the various asset classes to do that.</w:t>
      </w:r>
    </w:p>
    <w:p w14:paraId="653F1511" w14:textId="77777777" w:rsidR="00594A34" w:rsidRPr="00594A34" w:rsidRDefault="00594A34" w:rsidP="00594A34">
      <w:pPr>
        <w:ind w:left="284"/>
        <w:jc w:val="both"/>
      </w:pPr>
    </w:p>
    <w:p w14:paraId="55EC399B" w14:textId="77777777" w:rsidR="00594A34" w:rsidRDefault="00594A34" w:rsidP="00A144A3">
      <w:pPr>
        <w:numPr>
          <w:ilvl w:val="0"/>
          <w:numId w:val="2"/>
        </w:numPr>
        <w:tabs>
          <w:tab w:val="num" w:pos="284"/>
        </w:tabs>
        <w:ind w:left="284" w:hanging="851"/>
        <w:jc w:val="both"/>
      </w:pPr>
      <w:r w:rsidRPr="00594A34">
        <w:rPr>
          <w:rFonts w:cs="Arial"/>
          <w:szCs w:val="24"/>
        </w:rPr>
        <w:t xml:space="preserve">LCIV has a monitoring framework against which each underlying manager is monitored, which includes reviewing the managers’ investment performance, fee levels, asset allocation (to ensure that they are investing in line with the agreed mandate), and approach to ESG matters, including voting and engagement activity.   </w:t>
      </w:r>
    </w:p>
    <w:p w14:paraId="626AC1BA" w14:textId="77777777" w:rsidR="00594A34" w:rsidRDefault="00594A34" w:rsidP="00594A34">
      <w:pPr>
        <w:pStyle w:val="ListParagraph"/>
        <w:rPr>
          <w:szCs w:val="24"/>
        </w:rPr>
      </w:pPr>
    </w:p>
    <w:p w14:paraId="56EF65D9" w14:textId="63E60593" w:rsidR="00594A34" w:rsidRPr="00594A34" w:rsidRDefault="00594A34" w:rsidP="00A144A3">
      <w:pPr>
        <w:numPr>
          <w:ilvl w:val="0"/>
          <w:numId w:val="2"/>
        </w:numPr>
        <w:tabs>
          <w:tab w:val="num" w:pos="284"/>
        </w:tabs>
        <w:ind w:left="284" w:hanging="851"/>
        <w:jc w:val="both"/>
      </w:pPr>
      <w:proofErr w:type="gramStart"/>
      <w:r w:rsidRPr="00594A34">
        <w:rPr>
          <w:szCs w:val="24"/>
        </w:rPr>
        <w:t>At</w:t>
      </w:r>
      <w:proofErr w:type="gramEnd"/>
      <w:r w:rsidRPr="00594A34">
        <w:rPr>
          <w:szCs w:val="24"/>
        </w:rPr>
        <w:t xml:space="preserve"> 3</w:t>
      </w:r>
      <w:r w:rsidR="00DF5D10">
        <w:rPr>
          <w:szCs w:val="24"/>
        </w:rPr>
        <w:t>0</w:t>
      </w:r>
      <w:r w:rsidR="0007289E">
        <w:rPr>
          <w:szCs w:val="24"/>
        </w:rPr>
        <w:t xml:space="preserve"> June</w:t>
      </w:r>
      <w:r w:rsidRPr="00594A34">
        <w:rPr>
          <w:szCs w:val="24"/>
        </w:rPr>
        <w:t xml:space="preserve"> 202</w:t>
      </w:r>
      <w:r w:rsidR="0007289E">
        <w:rPr>
          <w:szCs w:val="24"/>
        </w:rPr>
        <w:t>3</w:t>
      </w:r>
      <w:r w:rsidRPr="00594A34">
        <w:rPr>
          <w:szCs w:val="24"/>
        </w:rPr>
        <w:t>, LCIV had over £13.</w:t>
      </w:r>
      <w:r w:rsidR="00BF72C7">
        <w:rPr>
          <w:szCs w:val="24"/>
        </w:rPr>
        <w:t>9</w:t>
      </w:r>
      <w:r w:rsidRPr="00594A34">
        <w:rPr>
          <w:szCs w:val="24"/>
        </w:rPr>
        <w:t xml:space="preserve"> billion of assets under management, and a further £</w:t>
      </w:r>
      <w:r w:rsidR="00BF72C7">
        <w:rPr>
          <w:szCs w:val="24"/>
        </w:rPr>
        <w:t>2.5</w:t>
      </w:r>
      <w:r w:rsidRPr="00594A34">
        <w:rPr>
          <w:szCs w:val="24"/>
        </w:rPr>
        <w:t xml:space="preserve"> billion of commitments in respect of the various “Private Markets” funds. Their current fund range includes</w:t>
      </w:r>
      <w:r w:rsidR="0007289E">
        <w:rPr>
          <w:szCs w:val="24"/>
        </w:rPr>
        <w:t>:</w:t>
      </w:r>
      <w:r w:rsidRPr="00594A34">
        <w:rPr>
          <w:szCs w:val="24"/>
        </w:rPr>
        <w:t xml:space="preserve"> </w:t>
      </w:r>
    </w:p>
    <w:p w14:paraId="392328C6" w14:textId="79531FD2" w:rsidR="00594A34" w:rsidRDefault="00BF72C7" w:rsidP="00A144A3">
      <w:pPr>
        <w:pStyle w:val="ListParagraph"/>
        <w:numPr>
          <w:ilvl w:val="0"/>
          <w:numId w:val="3"/>
        </w:numPr>
        <w:rPr>
          <w:sz w:val="24"/>
          <w:szCs w:val="24"/>
        </w:rPr>
      </w:pPr>
      <w:r>
        <w:rPr>
          <w:sz w:val="24"/>
          <w:szCs w:val="24"/>
        </w:rPr>
        <w:t>8</w:t>
      </w:r>
      <w:r w:rsidR="00594A34" w:rsidRPr="00FD2510">
        <w:rPr>
          <w:sz w:val="24"/>
          <w:szCs w:val="24"/>
        </w:rPr>
        <w:t xml:space="preserve"> global equity funds</w:t>
      </w:r>
      <w:r w:rsidR="00594A34">
        <w:rPr>
          <w:sz w:val="24"/>
          <w:szCs w:val="24"/>
        </w:rPr>
        <w:t xml:space="preserve"> (in addition to the passive funds which are held outside of the CIV)</w:t>
      </w:r>
    </w:p>
    <w:p w14:paraId="14DFFFD6" w14:textId="77777777" w:rsidR="00594A34" w:rsidRDefault="00594A34" w:rsidP="00A144A3">
      <w:pPr>
        <w:pStyle w:val="ListParagraph"/>
        <w:numPr>
          <w:ilvl w:val="0"/>
          <w:numId w:val="3"/>
        </w:numPr>
        <w:rPr>
          <w:sz w:val="24"/>
          <w:szCs w:val="24"/>
        </w:rPr>
      </w:pPr>
      <w:r>
        <w:rPr>
          <w:sz w:val="24"/>
          <w:szCs w:val="24"/>
        </w:rPr>
        <w:t>1 emerging markets equity fund</w:t>
      </w:r>
    </w:p>
    <w:p w14:paraId="7066684A" w14:textId="77777777" w:rsidR="00594A34" w:rsidRDefault="00594A34" w:rsidP="00A144A3">
      <w:pPr>
        <w:pStyle w:val="ListParagraph"/>
        <w:numPr>
          <w:ilvl w:val="0"/>
          <w:numId w:val="3"/>
        </w:numPr>
        <w:rPr>
          <w:sz w:val="24"/>
          <w:szCs w:val="24"/>
        </w:rPr>
      </w:pPr>
      <w:r>
        <w:rPr>
          <w:sz w:val="24"/>
          <w:szCs w:val="24"/>
        </w:rPr>
        <w:t>4 multi asset funds</w:t>
      </w:r>
    </w:p>
    <w:p w14:paraId="23BBDDE3" w14:textId="77777777" w:rsidR="00594A34" w:rsidRDefault="00594A34" w:rsidP="00A144A3">
      <w:pPr>
        <w:pStyle w:val="ListParagraph"/>
        <w:numPr>
          <w:ilvl w:val="0"/>
          <w:numId w:val="3"/>
        </w:numPr>
        <w:rPr>
          <w:sz w:val="24"/>
          <w:szCs w:val="24"/>
        </w:rPr>
      </w:pPr>
      <w:r>
        <w:rPr>
          <w:sz w:val="24"/>
          <w:szCs w:val="24"/>
        </w:rPr>
        <w:t>3 Fixed income funds (2 MAC, 1 Global bonds)</w:t>
      </w:r>
    </w:p>
    <w:p w14:paraId="793C22CE" w14:textId="77777777" w:rsidR="00594A34" w:rsidRDefault="00594A34" w:rsidP="00A144A3">
      <w:pPr>
        <w:pStyle w:val="ListParagraph"/>
        <w:numPr>
          <w:ilvl w:val="0"/>
          <w:numId w:val="3"/>
        </w:numPr>
        <w:rPr>
          <w:sz w:val="24"/>
          <w:szCs w:val="24"/>
        </w:rPr>
      </w:pPr>
      <w:r>
        <w:rPr>
          <w:sz w:val="24"/>
          <w:szCs w:val="24"/>
        </w:rPr>
        <w:t>1 Infrastructure fund</w:t>
      </w:r>
    </w:p>
    <w:p w14:paraId="131034C5" w14:textId="77777777" w:rsidR="00594A34" w:rsidRDefault="00594A34" w:rsidP="00A144A3">
      <w:pPr>
        <w:pStyle w:val="ListParagraph"/>
        <w:numPr>
          <w:ilvl w:val="0"/>
          <w:numId w:val="3"/>
        </w:numPr>
        <w:rPr>
          <w:sz w:val="24"/>
          <w:szCs w:val="24"/>
        </w:rPr>
      </w:pPr>
      <w:r>
        <w:rPr>
          <w:sz w:val="24"/>
          <w:szCs w:val="24"/>
        </w:rPr>
        <w:t>1 Renewables Infrastructure fund</w:t>
      </w:r>
    </w:p>
    <w:p w14:paraId="6FC52DD3" w14:textId="65461B4D" w:rsidR="00594A34" w:rsidRDefault="00594A34" w:rsidP="00A144A3">
      <w:pPr>
        <w:pStyle w:val="ListParagraph"/>
        <w:numPr>
          <w:ilvl w:val="0"/>
          <w:numId w:val="3"/>
        </w:numPr>
        <w:rPr>
          <w:sz w:val="24"/>
          <w:szCs w:val="24"/>
        </w:rPr>
      </w:pPr>
      <w:r>
        <w:rPr>
          <w:sz w:val="24"/>
          <w:szCs w:val="24"/>
        </w:rPr>
        <w:t>1 Private Debt Fund</w:t>
      </w:r>
    </w:p>
    <w:p w14:paraId="4D923E33" w14:textId="14BC7A2B" w:rsidR="00BF72C7" w:rsidRDefault="00BF72C7" w:rsidP="00A144A3">
      <w:pPr>
        <w:pStyle w:val="ListParagraph"/>
        <w:numPr>
          <w:ilvl w:val="0"/>
          <w:numId w:val="3"/>
        </w:numPr>
        <w:rPr>
          <w:sz w:val="24"/>
          <w:szCs w:val="24"/>
        </w:rPr>
      </w:pPr>
      <w:r>
        <w:rPr>
          <w:sz w:val="24"/>
          <w:szCs w:val="24"/>
        </w:rPr>
        <w:t>1 Private Markets</w:t>
      </w:r>
    </w:p>
    <w:p w14:paraId="7A7BE3B2" w14:textId="779D36A4" w:rsidR="00594A34" w:rsidRPr="00FD2510" w:rsidRDefault="00BF72C7" w:rsidP="00A144A3">
      <w:pPr>
        <w:pStyle w:val="ListParagraph"/>
        <w:numPr>
          <w:ilvl w:val="0"/>
          <w:numId w:val="3"/>
        </w:numPr>
        <w:rPr>
          <w:sz w:val="24"/>
          <w:szCs w:val="24"/>
        </w:rPr>
      </w:pPr>
      <w:r>
        <w:rPr>
          <w:sz w:val="24"/>
          <w:szCs w:val="24"/>
        </w:rPr>
        <w:t>2</w:t>
      </w:r>
      <w:r w:rsidR="00594A34">
        <w:rPr>
          <w:sz w:val="24"/>
          <w:szCs w:val="24"/>
        </w:rPr>
        <w:t xml:space="preserve"> property fund</w:t>
      </w:r>
      <w:r>
        <w:rPr>
          <w:sz w:val="24"/>
          <w:szCs w:val="24"/>
        </w:rPr>
        <w:t>s</w:t>
      </w:r>
    </w:p>
    <w:p w14:paraId="7DDB212A" w14:textId="77777777" w:rsidR="00594A34" w:rsidRPr="00FD2510" w:rsidRDefault="00594A34" w:rsidP="00594A34">
      <w:pPr>
        <w:ind w:left="720"/>
        <w:jc w:val="both"/>
        <w:rPr>
          <w:szCs w:val="24"/>
        </w:rPr>
      </w:pPr>
    </w:p>
    <w:p w14:paraId="5A94520D" w14:textId="77777777" w:rsidR="00594A34" w:rsidRPr="00594A34" w:rsidRDefault="00594A34" w:rsidP="00A144A3">
      <w:pPr>
        <w:numPr>
          <w:ilvl w:val="0"/>
          <w:numId w:val="2"/>
        </w:numPr>
        <w:tabs>
          <w:tab w:val="num" w:pos="284"/>
        </w:tabs>
        <w:ind w:left="284" w:hanging="851"/>
        <w:jc w:val="both"/>
      </w:pPr>
      <w:r w:rsidRPr="00594A34">
        <w:t xml:space="preserve">In addition, </w:t>
      </w:r>
      <w:proofErr w:type="gramStart"/>
      <w:r w:rsidRPr="00594A34">
        <w:t>a number of</w:t>
      </w:r>
      <w:proofErr w:type="gramEnd"/>
      <w:r w:rsidRPr="00594A34">
        <w:t xml:space="preserve"> new Funds are currently under development. </w:t>
      </w:r>
    </w:p>
    <w:p w14:paraId="071C9810" w14:textId="77777777" w:rsidR="00594A34" w:rsidRPr="00594A34" w:rsidRDefault="00594A34" w:rsidP="00594A34">
      <w:pPr>
        <w:ind w:left="284"/>
        <w:jc w:val="both"/>
      </w:pPr>
    </w:p>
    <w:p w14:paraId="6F026165" w14:textId="77777777" w:rsidR="00594A34" w:rsidRDefault="00594A34" w:rsidP="00A144A3">
      <w:pPr>
        <w:numPr>
          <w:ilvl w:val="0"/>
          <w:numId w:val="2"/>
        </w:numPr>
        <w:tabs>
          <w:tab w:val="num" w:pos="284"/>
        </w:tabs>
        <w:ind w:left="284" w:hanging="851"/>
        <w:jc w:val="both"/>
      </w:pPr>
      <w:r>
        <w:t>For regulatory / FCA purposes, most LCIV Funds fall within the Authorised Contractual Scheme (ACS) Structure – this includes the equity, fixed income and multi asset funds. Each investment mandate with LCIV is a separate ring-fenced sub fund within the ACS.  The remaining funds are “Private Markets” Funds. These tend to be illiquid.</w:t>
      </w:r>
    </w:p>
    <w:p w14:paraId="495F59C0" w14:textId="77777777" w:rsidR="00594A34" w:rsidRPr="00714B3F" w:rsidRDefault="00594A34" w:rsidP="00594A34">
      <w:pPr>
        <w:ind w:left="284"/>
        <w:jc w:val="both"/>
      </w:pPr>
    </w:p>
    <w:p w14:paraId="6A02F08A" w14:textId="77777777" w:rsidR="00594A34" w:rsidRPr="00553DE9" w:rsidRDefault="00594A34" w:rsidP="00A144A3">
      <w:pPr>
        <w:numPr>
          <w:ilvl w:val="0"/>
          <w:numId w:val="2"/>
        </w:numPr>
        <w:tabs>
          <w:tab w:val="num" w:pos="284"/>
        </w:tabs>
        <w:ind w:left="284" w:hanging="851"/>
        <w:jc w:val="both"/>
      </w:pPr>
      <w:r w:rsidRPr="00594A34">
        <w:t>The fund development process includes “seed investor groups” from London Borough Pension Funds which may be interested in the investment being considered. The purpose of these groups is to ensure that mandate development follows a direction which the client funds require and hence will invest in. It is possible to participate in these groups to gain an understanding of how the mandate will develop before deciding or committing to invest. Consequently, officers have participated in a number of these groups, and will continue to do so where these are considering investments likely to be of interest to LBH.</w:t>
      </w:r>
    </w:p>
    <w:p w14:paraId="0DD2DD84" w14:textId="77777777" w:rsidR="00594A34" w:rsidRPr="00594A34" w:rsidRDefault="00594A34" w:rsidP="00594A34">
      <w:pPr>
        <w:ind w:left="284"/>
        <w:jc w:val="both"/>
      </w:pPr>
    </w:p>
    <w:p w14:paraId="6D88BC56" w14:textId="79013C51" w:rsidR="00594A34" w:rsidRPr="00140D5A" w:rsidRDefault="00594A34" w:rsidP="00A144A3">
      <w:pPr>
        <w:numPr>
          <w:ilvl w:val="0"/>
          <w:numId w:val="2"/>
        </w:numPr>
        <w:tabs>
          <w:tab w:val="num" w:pos="284"/>
        </w:tabs>
        <w:ind w:left="284" w:hanging="851"/>
        <w:jc w:val="both"/>
      </w:pPr>
      <w:r w:rsidRPr="00594A34">
        <w:t xml:space="preserve">LCIV’s staffing team continues to evolve – the most significant recent change is the </w:t>
      </w:r>
      <w:r w:rsidR="00BF72C7">
        <w:t>resignation of Chief Investment Officer Jason Fletcher. The</w:t>
      </w:r>
      <w:r w:rsidRPr="00594A34">
        <w:t xml:space="preserve"> new Chief Executive, Dean Bowden</w:t>
      </w:r>
      <w:r w:rsidR="00850F6E">
        <w:t xml:space="preserve"> </w:t>
      </w:r>
      <w:r w:rsidRPr="00594A34">
        <w:t xml:space="preserve">has been meeting the Pension Fund Committee Chairs and Lead Officers of each Boroughs to understand their needs and requirements. </w:t>
      </w:r>
    </w:p>
    <w:p w14:paraId="31AE0F9A" w14:textId="77777777" w:rsidR="00594A34" w:rsidRDefault="00594A34" w:rsidP="00594A34">
      <w:pPr>
        <w:ind w:left="284"/>
        <w:jc w:val="both"/>
      </w:pPr>
    </w:p>
    <w:p w14:paraId="7D995132" w14:textId="43CAC5D5" w:rsidR="00594A34" w:rsidRDefault="00594A34" w:rsidP="00A144A3">
      <w:pPr>
        <w:numPr>
          <w:ilvl w:val="0"/>
          <w:numId w:val="2"/>
        </w:numPr>
        <w:tabs>
          <w:tab w:val="num" w:pos="284"/>
        </w:tabs>
        <w:ind w:left="284" w:hanging="851"/>
        <w:jc w:val="both"/>
      </w:pPr>
      <w:r>
        <w:lastRenderedPageBreak/>
        <w:t xml:space="preserve">As reported elsewhere on this agenda, </w:t>
      </w:r>
      <w:proofErr w:type="gramStart"/>
      <w:r>
        <w:t>at</w:t>
      </w:r>
      <w:proofErr w:type="gramEnd"/>
      <w:r>
        <w:t xml:space="preserve"> 3</w:t>
      </w:r>
      <w:r w:rsidR="00850F6E">
        <w:t>0 June</w:t>
      </w:r>
      <w:r>
        <w:t xml:space="preserve"> 202</w:t>
      </w:r>
      <w:r w:rsidR="00850F6E">
        <w:t>3</w:t>
      </w:r>
      <w:r>
        <w:t xml:space="preserve"> LB</w:t>
      </w:r>
      <w:r w:rsidR="00850F6E">
        <w:t xml:space="preserve"> </w:t>
      </w:r>
      <w:r>
        <w:t>H</w:t>
      </w:r>
      <w:r w:rsidR="00850F6E">
        <w:t>arrow</w:t>
      </w:r>
      <w:r>
        <w:t xml:space="preserve"> had 4</w:t>
      </w:r>
      <w:r w:rsidR="00850F6E">
        <w:t>9.4</w:t>
      </w:r>
      <w:r>
        <w:t>% of its investments in LCIV funds, and a further 29</w:t>
      </w:r>
      <w:r w:rsidR="00850F6E">
        <w:t>.3</w:t>
      </w:r>
      <w:r>
        <w:t xml:space="preserve">% in passive funds which are counted as being pooled because the fee arrangements were negotiated by LCIV.  Once commitments to the LCIV Renewables Infrastructure Fund and the LCIV Infrastructure Fund are fully called, this will increase the total of investments pooled or counted as pooled to 82%. </w:t>
      </w:r>
    </w:p>
    <w:p w14:paraId="7DCCEB96" w14:textId="77777777" w:rsidR="00594A34" w:rsidRDefault="00594A34" w:rsidP="00594A34">
      <w:pPr>
        <w:ind w:left="284"/>
        <w:jc w:val="both"/>
      </w:pPr>
    </w:p>
    <w:p w14:paraId="3976E695" w14:textId="75EC5236" w:rsidR="00594A34" w:rsidRDefault="00594A34" w:rsidP="00A144A3">
      <w:pPr>
        <w:numPr>
          <w:ilvl w:val="0"/>
          <w:numId w:val="2"/>
        </w:numPr>
        <w:tabs>
          <w:tab w:val="num" w:pos="284"/>
        </w:tabs>
        <w:ind w:left="284" w:hanging="851"/>
        <w:jc w:val="both"/>
      </w:pPr>
      <w:r>
        <w:t xml:space="preserve">LCIV’s most recent </w:t>
      </w:r>
      <w:r w:rsidR="00A55CBF">
        <w:t xml:space="preserve">update and </w:t>
      </w:r>
      <w:r>
        <w:t>performance reports on its investments are enclosed as follows</w:t>
      </w:r>
      <w:r w:rsidR="005267F0">
        <w:t>:</w:t>
      </w:r>
    </w:p>
    <w:p w14:paraId="2178BD2B" w14:textId="1C5F0664" w:rsidR="00594A34" w:rsidRPr="00140D5A" w:rsidRDefault="00594A34" w:rsidP="00A144A3">
      <w:pPr>
        <w:pStyle w:val="ListParagraph"/>
        <w:numPr>
          <w:ilvl w:val="0"/>
          <w:numId w:val="4"/>
        </w:numPr>
        <w:jc w:val="both"/>
        <w:rPr>
          <w:sz w:val="24"/>
          <w:szCs w:val="24"/>
        </w:rPr>
      </w:pPr>
      <w:r w:rsidRPr="00714B3F">
        <w:rPr>
          <w:b/>
          <w:bCs/>
        </w:rPr>
        <w:t xml:space="preserve">Appendix 1 </w:t>
      </w:r>
      <w:r>
        <w:rPr>
          <w:b/>
          <w:bCs/>
        </w:rPr>
        <w:t>–</w:t>
      </w:r>
      <w:r w:rsidRPr="00714B3F">
        <w:rPr>
          <w:b/>
          <w:bCs/>
        </w:rPr>
        <w:t xml:space="preserve"> </w:t>
      </w:r>
      <w:r w:rsidRPr="00140D5A">
        <w:rPr>
          <w:sz w:val="24"/>
          <w:szCs w:val="24"/>
        </w:rPr>
        <w:t>Quarterly ACS Report to 3</w:t>
      </w:r>
      <w:r w:rsidR="00850F6E">
        <w:rPr>
          <w:sz w:val="24"/>
          <w:szCs w:val="24"/>
        </w:rPr>
        <w:t>0</w:t>
      </w:r>
      <w:r w:rsidRPr="00140D5A">
        <w:rPr>
          <w:sz w:val="24"/>
          <w:szCs w:val="24"/>
        </w:rPr>
        <w:t xml:space="preserve"> </w:t>
      </w:r>
      <w:r w:rsidR="00850F6E">
        <w:rPr>
          <w:sz w:val="24"/>
          <w:szCs w:val="24"/>
        </w:rPr>
        <w:t>June</w:t>
      </w:r>
      <w:r w:rsidRPr="00140D5A">
        <w:rPr>
          <w:sz w:val="24"/>
          <w:szCs w:val="24"/>
        </w:rPr>
        <w:t xml:space="preserve"> 202</w:t>
      </w:r>
      <w:r w:rsidR="00850F6E">
        <w:rPr>
          <w:sz w:val="24"/>
          <w:szCs w:val="24"/>
        </w:rPr>
        <w:t>3</w:t>
      </w:r>
    </w:p>
    <w:p w14:paraId="2FFDE8B3" w14:textId="20DF00A5" w:rsidR="00594A34" w:rsidRDefault="00594A34" w:rsidP="00A144A3">
      <w:pPr>
        <w:pStyle w:val="ListParagraph"/>
        <w:numPr>
          <w:ilvl w:val="0"/>
          <w:numId w:val="4"/>
        </w:numPr>
        <w:jc w:val="both"/>
        <w:rPr>
          <w:sz w:val="24"/>
          <w:szCs w:val="24"/>
        </w:rPr>
      </w:pPr>
      <w:r w:rsidRPr="00140D5A">
        <w:rPr>
          <w:b/>
          <w:bCs/>
          <w:sz w:val="24"/>
          <w:szCs w:val="24"/>
        </w:rPr>
        <w:t>Appendix 2 –</w:t>
      </w:r>
      <w:r w:rsidRPr="00140D5A">
        <w:rPr>
          <w:sz w:val="24"/>
          <w:szCs w:val="24"/>
        </w:rPr>
        <w:t xml:space="preserve"> </w:t>
      </w:r>
      <w:r>
        <w:rPr>
          <w:sz w:val="24"/>
          <w:szCs w:val="24"/>
        </w:rPr>
        <w:t>Q</w:t>
      </w:r>
      <w:r w:rsidRPr="00140D5A">
        <w:rPr>
          <w:sz w:val="24"/>
          <w:szCs w:val="24"/>
        </w:rPr>
        <w:t>uarterly Private Markets Report to 3</w:t>
      </w:r>
      <w:r w:rsidR="00850F6E">
        <w:rPr>
          <w:sz w:val="24"/>
          <w:szCs w:val="24"/>
        </w:rPr>
        <w:t>1</w:t>
      </w:r>
      <w:r w:rsidRPr="00140D5A">
        <w:rPr>
          <w:sz w:val="24"/>
          <w:szCs w:val="24"/>
        </w:rPr>
        <w:t xml:space="preserve"> </w:t>
      </w:r>
      <w:r w:rsidR="00850F6E">
        <w:rPr>
          <w:sz w:val="24"/>
          <w:szCs w:val="24"/>
        </w:rPr>
        <w:t>March</w:t>
      </w:r>
      <w:r>
        <w:rPr>
          <w:sz w:val="24"/>
          <w:szCs w:val="24"/>
        </w:rPr>
        <w:t xml:space="preserve"> </w:t>
      </w:r>
      <w:r w:rsidRPr="00140D5A">
        <w:rPr>
          <w:sz w:val="24"/>
          <w:szCs w:val="24"/>
        </w:rPr>
        <w:t>202</w:t>
      </w:r>
      <w:r w:rsidR="00850F6E">
        <w:rPr>
          <w:sz w:val="24"/>
          <w:szCs w:val="24"/>
        </w:rPr>
        <w:t>3</w:t>
      </w:r>
      <w:r w:rsidRPr="00140D5A">
        <w:rPr>
          <w:sz w:val="24"/>
          <w:szCs w:val="24"/>
        </w:rPr>
        <w:t xml:space="preserve"> (the illiquid nature of these investments and the more complex valuation process where these are “unlisted” means that the reporting cycle is slower than the more liquid ACS funds. </w:t>
      </w:r>
    </w:p>
    <w:p w14:paraId="26287ECD" w14:textId="30383D74" w:rsidR="005267F0" w:rsidRPr="00140D5A" w:rsidRDefault="005267F0" w:rsidP="00A144A3">
      <w:pPr>
        <w:pStyle w:val="ListParagraph"/>
        <w:numPr>
          <w:ilvl w:val="0"/>
          <w:numId w:val="4"/>
        </w:numPr>
        <w:jc w:val="both"/>
        <w:rPr>
          <w:sz w:val="24"/>
          <w:szCs w:val="24"/>
        </w:rPr>
      </w:pPr>
      <w:r>
        <w:rPr>
          <w:b/>
          <w:bCs/>
          <w:sz w:val="24"/>
          <w:szCs w:val="24"/>
        </w:rPr>
        <w:t>Appendix 3 –</w:t>
      </w:r>
      <w:r>
        <w:rPr>
          <w:sz w:val="24"/>
          <w:szCs w:val="24"/>
        </w:rPr>
        <w:t xml:space="preserve"> Annual Review for year ending 31</w:t>
      </w:r>
      <w:r w:rsidRPr="005267F0">
        <w:rPr>
          <w:sz w:val="24"/>
          <w:szCs w:val="24"/>
          <w:vertAlign w:val="superscript"/>
        </w:rPr>
        <w:t>st</w:t>
      </w:r>
      <w:r>
        <w:rPr>
          <w:sz w:val="24"/>
          <w:szCs w:val="24"/>
        </w:rPr>
        <w:t xml:space="preserve"> March 2023</w:t>
      </w:r>
    </w:p>
    <w:p w14:paraId="249A5659" w14:textId="77777777" w:rsidR="00DF5D10" w:rsidRPr="00DF5D10" w:rsidRDefault="00DF5D10" w:rsidP="00DF5D10">
      <w:pPr>
        <w:ind w:left="284"/>
        <w:jc w:val="both"/>
      </w:pPr>
    </w:p>
    <w:p w14:paraId="3AD4D8D8" w14:textId="0A70CDF8" w:rsidR="00594A34" w:rsidRPr="00936E7E" w:rsidRDefault="00594A34" w:rsidP="00A144A3">
      <w:pPr>
        <w:numPr>
          <w:ilvl w:val="0"/>
          <w:numId w:val="2"/>
        </w:numPr>
        <w:tabs>
          <w:tab w:val="num" w:pos="284"/>
        </w:tabs>
        <w:ind w:left="284" w:hanging="851"/>
        <w:jc w:val="both"/>
      </w:pPr>
      <w:r w:rsidRPr="00BA3098">
        <w:rPr>
          <w:b/>
          <w:bCs/>
        </w:rPr>
        <w:t>These appendices are Exempt</w:t>
      </w:r>
      <w:r>
        <w:t xml:space="preserve"> as they contain commercially confidential information – hence if Board members wish to discuss these in </w:t>
      </w:r>
      <w:r w:rsidR="00850F6E">
        <w:t>detail,</w:t>
      </w:r>
      <w:r>
        <w:t xml:space="preserve"> they can do so in Part 2. </w:t>
      </w:r>
    </w:p>
    <w:p w14:paraId="128FAAB1" w14:textId="77777777" w:rsidR="00594A34" w:rsidRPr="00594A34" w:rsidRDefault="00594A34" w:rsidP="00594A34">
      <w:pPr>
        <w:ind w:left="284"/>
        <w:jc w:val="both"/>
      </w:pPr>
    </w:p>
    <w:p w14:paraId="2C940212" w14:textId="63CDC40B" w:rsidR="00594A34" w:rsidRDefault="00594A34" w:rsidP="00A144A3">
      <w:pPr>
        <w:numPr>
          <w:ilvl w:val="0"/>
          <w:numId w:val="2"/>
        </w:numPr>
        <w:tabs>
          <w:tab w:val="num" w:pos="284"/>
        </w:tabs>
        <w:ind w:left="284" w:hanging="851"/>
        <w:jc w:val="both"/>
      </w:pPr>
      <w:r>
        <w:t>A key objective from pooling was to generate savings for client funds through reduced fees payable to managers. The most recent calculation of fee savings (to 31 March 202</w:t>
      </w:r>
      <w:r w:rsidR="00850F6E">
        <w:t>3</w:t>
      </w:r>
      <w:r>
        <w:t xml:space="preserve">) </w:t>
      </w:r>
      <w:r w:rsidR="005267F0">
        <w:t xml:space="preserve">can be seen in the table below </w:t>
      </w:r>
      <w:proofErr w:type="gramStart"/>
      <w:r w:rsidR="005267F0">
        <w:t>and also</w:t>
      </w:r>
      <w:proofErr w:type="gramEnd"/>
      <w:r w:rsidR="005267F0">
        <w:t xml:space="preserve"> on page 27 of the </w:t>
      </w:r>
      <w:r>
        <w:t xml:space="preserve">attached </w:t>
      </w:r>
      <w:r w:rsidRPr="00BA3098">
        <w:rPr>
          <w:b/>
          <w:bCs/>
        </w:rPr>
        <w:t>appendix 3</w:t>
      </w:r>
      <w:r>
        <w:rPr>
          <w:b/>
          <w:bCs/>
        </w:rPr>
        <w:t xml:space="preserve"> – exempt. </w:t>
      </w:r>
      <w:r w:rsidRPr="00BA3098">
        <w:t>Again, if</w:t>
      </w:r>
      <w:r>
        <w:t xml:space="preserve"> </w:t>
      </w:r>
      <w:r w:rsidR="00A55CBF">
        <w:t>Board</w:t>
      </w:r>
      <w:r>
        <w:t xml:space="preserve"> members wish to discuss this in </w:t>
      </w:r>
      <w:proofErr w:type="gramStart"/>
      <w:r>
        <w:t>detail</w:t>
      </w:r>
      <w:proofErr w:type="gramEnd"/>
      <w:r>
        <w:t xml:space="preserve"> they can do so in Part 2.</w:t>
      </w:r>
    </w:p>
    <w:p w14:paraId="5D5143C0" w14:textId="77777777" w:rsidR="005267F0" w:rsidRDefault="005267F0" w:rsidP="005267F0">
      <w:pPr>
        <w:pStyle w:val="ListParagraph"/>
      </w:pPr>
    </w:p>
    <w:p w14:paraId="3EABBBD2" w14:textId="2544FD1B" w:rsidR="005267F0" w:rsidRDefault="005267F0" w:rsidP="005267F0">
      <w:pPr>
        <w:ind w:left="284" w:hanging="851"/>
        <w:jc w:val="both"/>
      </w:pPr>
      <w:r w:rsidRPr="005267F0">
        <w:rPr>
          <w:noProof/>
        </w:rPr>
        <w:drawing>
          <wp:inline distT="0" distB="0" distL="0" distR="0" wp14:anchorId="62AEAE6D" wp14:editId="35D569B7">
            <wp:extent cx="6115050" cy="2085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5050" cy="2085975"/>
                    </a:xfrm>
                    <a:prstGeom prst="rect">
                      <a:avLst/>
                    </a:prstGeom>
                  </pic:spPr>
                </pic:pic>
              </a:graphicData>
            </a:graphic>
          </wp:inline>
        </w:drawing>
      </w:r>
    </w:p>
    <w:p w14:paraId="7F97E56D" w14:textId="77777777" w:rsidR="005267F0" w:rsidRDefault="005267F0" w:rsidP="005267F0">
      <w:pPr>
        <w:pStyle w:val="ListParagraph"/>
      </w:pPr>
    </w:p>
    <w:p w14:paraId="5F775229" w14:textId="0E64E8E0" w:rsidR="005267F0" w:rsidRDefault="005267F0" w:rsidP="00A144A3">
      <w:pPr>
        <w:numPr>
          <w:ilvl w:val="0"/>
          <w:numId w:val="2"/>
        </w:numPr>
        <w:tabs>
          <w:tab w:val="num" w:pos="284"/>
        </w:tabs>
        <w:ind w:left="284" w:hanging="851"/>
        <w:jc w:val="both"/>
      </w:pPr>
      <w:r>
        <w:t xml:space="preserve">The </w:t>
      </w:r>
      <w:r w:rsidR="00A144A3">
        <w:t xml:space="preserve">above </w:t>
      </w:r>
      <w:r w:rsidRPr="005267F0">
        <w:t xml:space="preserve">cost savings in </w:t>
      </w:r>
      <w:r>
        <w:t>the</w:t>
      </w:r>
      <w:r w:rsidRPr="005267F0">
        <w:t xml:space="preserve"> Annual review isn’t at client fund level. </w:t>
      </w:r>
      <w:r>
        <w:t>LCIV</w:t>
      </w:r>
      <w:r w:rsidRPr="005267F0">
        <w:t xml:space="preserve"> use the quarterly cost savings reports </w:t>
      </w:r>
      <w:r>
        <w:t xml:space="preserve">sent </w:t>
      </w:r>
      <w:r w:rsidRPr="005267F0">
        <w:t xml:space="preserve">to </w:t>
      </w:r>
      <w:r>
        <w:t>clients to build</w:t>
      </w:r>
      <w:r w:rsidRPr="005267F0">
        <w:t xml:space="preserve"> the overall figures. The indicative savings for each quarter for Harrow </w:t>
      </w:r>
      <w:r>
        <w:t>are shown in the table below</w:t>
      </w:r>
      <w:r w:rsidRPr="005267F0">
        <w:t>:</w:t>
      </w:r>
    </w:p>
    <w:p w14:paraId="4520481A" w14:textId="26355F70" w:rsidR="00594A34" w:rsidRDefault="00A144A3" w:rsidP="00A144A3">
      <w:pPr>
        <w:ind w:left="284" w:hanging="710"/>
        <w:jc w:val="both"/>
      </w:pPr>
      <w:r w:rsidRPr="00A144A3">
        <w:rPr>
          <w:noProof/>
        </w:rPr>
        <w:drawing>
          <wp:inline distT="0" distB="0" distL="0" distR="0" wp14:anchorId="689B1E42" wp14:editId="78F72A83">
            <wp:extent cx="59150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5025" cy="1152525"/>
                    </a:xfrm>
                    <a:prstGeom prst="rect">
                      <a:avLst/>
                    </a:prstGeom>
                  </pic:spPr>
                </pic:pic>
              </a:graphicData>
            </a:graphic>
          </wp:inline>
        </w:drawing>
      </w:r>
    </w:p>
    <w:p w14:paraId="027AE5F1" w14:textId="77777777" w:rsidR="00594A34" w:rsidRPr="00140D5A" w:rsidRDefault="00594A34" w:rsidP="00A144A3">
      <w:pPr>
        <w:numPr>
          <w:ilvl w:val="0"/>
          <w:numId w:val="2"/>
        </w:numPr>
        <w:tabs>
          <w:tab w:val="num" w:pos="284"/>
        </w:tabs>
        <w:ind w:left="284" w:hanging="851"/>
        <w:jc w:val="both"/>
      </w:pPr>
      <w:r w:rsidRPr="00594A34">
        <w:t>Final</w:t>
      </w:r>
      <w:r>
        <w:rPr>
          <w:rFonts w:cs="Arial"/>
          <w:szCs w:val="24"/>
        </w:rPr>
        <w:t xml:space="preserve">ly, LCIV is increasing its work in respect of ESG matters – including holding managers to account in respect of their work on voting and company </w:t>
      </w:r>
      <w:r>
        <w:rPr>
          <w:rFonts w:cs="Arial"/>
          <w:szCs w:val="24"/>
        </w:rPr>
        <w:lastRenderedPageBreak/>
        <w:t>engagement. LCIV will also be a key part of the LBH Fund’s ability to meet its Climate Reporting Requirements (TCFD) in due course.</w:t>
      </w:r>
    </w:p>
    <w:p w14:paraId="0A60CA5B" w14:textId="1E0914DC" w:rsidR="00E54E13" w:rsidRDefault="00A77232" w:rsidP="00E54E13">
      <w:pPr>
        <w:pStyle w:val="Heading2"/>
      </w:pPr>
      <w:r>
        <w:t>L</w:t>
      </w:r>
      <w:r w:rsidR="00E54E13">
        <w:t>egal Implications</w:t>
      </w:r>
    </w:p>
    <w:p w14:paraId="5F8B9F07" w14:textId="77777777" w:rsidR="00E54E13" w:rsidRPr="00A144A3" w:rsidRDefault="00E54E13" w:rsidP="00E54E13">
      <w:pPr>
        <w:jc w:val="both"/>
        <w:rPr>
          <w:szCs w:val="24"/>
        </w:rPr>
      </w:pPr>
    </w:p>
    <w:p w14:paraId="6AE43C55" w14:textId="77777777" w:rsidR="005267F0" w:rsidRPr="00A144A3" w:rsidRDefault="005267F0" w:rsidP="00A144A3">
      <w:pPr>
        <w:numPr>
          <w:ilvl w:val="0"/>
          <w:numId w:val="1"/>
        </w:numPr>
        <w:ind w:left="284" w:hanging="851"/>
        <w:jc w:val="both"/>
        <w:rPr>
          <w:szCs w:val="24"/>
        </w:rPr>
      </w:pPr>
      <w:r w:rsidRPr="00A144A3">
        <w:rPr>
          <w:szCs w:val="24"/>
        </w:rPr>
        <w:t>There are no direct legal implications arising from this report.</w:t>
      </w:r>
    </w:p>
    <w:p w14:paraId="50EB6A23" w14:textId="77777777" w:rsidR="005267F0" w:rsidRPr="00A144A3" w:rsidRDefault="005267F0" w:rsidP="005267F0">
      <w:pPr>
        <w:pStyle w:val="ListParagraph"/>
        <w:rPr>
          <w:sz w:val="24"/>
          <w:szCs w:val="24"/>
        </w:rPr>
      </w:pPr>
    </w:p>
    <w:p w14:paraId="725391DC" w14:textId="77777777" w:rsidR="005267F0" w:rsidRPr="00A144A3" w:rsidRDefault="005267F0" w:rsidP="00A144A3">
      <w:pPr>
        <w:numPr>
          <w:ilvl w:val="0"/>
          <w:numId w:val="1"/>
        </w:numPr>
        <w:ind w:left="284" w:hanging="851"/>
        <w:jc w:val="both"/>
        <w:rPr>
          <w:szCs w:val="24"/>
        </w:rPr>
      </w:pPr>
      <w:r w:rsidRPr="00A144A3">
        <w:rPr>
          <w:szCs w:val="24"/>
        </w:rPr>
        <w:t xml:space="preserve">The terms of reference for the Board include the Board’s role as set out in the following paragraphs. </w:t>
      </w:r>
    </w:p>
    <w:p w14:paraId="0B0F9A43" w14:textId="77777777" w:rsidR="005267F0" w:rsidRPr="00A144A3" w:rsidRDefault="005267F0" w:rsidP="005267F0">
      <w:pPr>
        <w:pStyle w:val="ListParagraph"/>
        <w:rPr>
          <w:color w:val="262626"/>
          <w:sz w:val="24"/>
          <w:szCs w:val="24"/>
        </w:rPr>
      </w:pPr>
    </w:p>
    <w:p w14:paraId="709DC132" w14:textId="77777777" w:rsidR="005267F0" w:rsidRPr="00A144A3" w:rsidRDefault="005267F0" w:rsidP="00A144A3">
      <w:pPr>
        <w:numPr>
          <w:ilvl w:val="0"/>
          <w:numId w:val="1"/>
        </w:numPr>
        <w:ind w:left="284" w:hanging="851"/>
        <w:jc w:val="both"/>
        <w:rPr>
          <w:szCs w:val="24"/>
        </w:rPr>
      </w:pPr>
      <w:r w:rsidRPr="00A144A3">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6F099897" w14:textId="77777777" w:rsidR="005267F0" w:rsidRPr="00A144A3" w:rsidRDefault="005267F0" w:rsidP="005267F0">
      <w:pPr>
        <w:jc w:val="both"/>
        <w:rPr>
          <w:szCs w:val="24"/>
        </w:rPr>
      </w:pPr>
    </w:p>
    <w:p w14:paraId="5E2FDBC1" w14:textId="77777777" w:rsidR="005267F0" w:rsidRPr="00A144A3" w:rsidRDefault="005267F0" w:rsidP="00A144A3">
      <w:pPr>
        <w:pStyle w:val="ListParagraph"/>
        <w:numPr>
          <w:ilvl w:val="0"/>
          <w:numId w:val="6"/>
        </w:numPr>
        <w:shd w:val="clear" w:color="auto" w:fill="FFFFFF"/>
        <w:rPr>
          <w:color w:val="262626"/>
          <w:sz w:val="24"/>
          <w:szCs w:val="24"/>
        </w:rPr>
      </w:pPr>
      <w:r w:rsidRPr="00A144A3">
        <w:rPr>
          <w:color w:val="262626"/>
          <w:sz w:val="24"/>
          <w:szCs w:val="24"/>
        </w:rPr>
        <w:t xml:space="preserve">securing compliance with the LGPS regulations and other legislation relating to the governance and administration of the </w:t>
      </w:r>
      <w:proofErr w:type="gramStart"/>
      <w:r w:rsidRPr="00A144A3">
        <w:rPr>
          <w:color w:val="262626"/>
          <w:sz w:val="24"/>
          <w:szCs w:val="24"/>
        </w:rPr>
        <w:t>LGPS;</w:t>
      </w:r>
      <w:proofErr w:type="gramEnd"/>
    </w:p>
    <w:p w14:paraId="6D0E618A" w14:textId="77777777" w:rsidR="005267F0" w:rsidRPr="00A144A3" w:rsidRDefault="005267F0" w:rsidP="00A144A3">
      <w:pPr>
        <w:pStyle w:val="ListParagraph"/>
        <w:numPr>
          <w:ilvl w:val="0"/>
          <w:numId w:val="6"/>
        </w:numPr>
        <w:shd w:val="clear" w:color="auto" w:fill="FFFFFF"/>
        <w:rPr>
          <w:color w:val="262626"/>
          <w:sz w:val="24"/>
          <w:szCs w:val="24"/>
        </w:rPr>
      </w:pPr>
      <w:r w:rsidRPr="00A144A3">
        <w:rPr>
          <w:color w:val="262626"/>
          <w:sz w:val="24"/>
          <w:szCs w:val="24"/>
        </w:rPr>
        <w:t>securing compliance with requirements imposed in relation to the LGPS by the Pensions Regulator; and</w:t>
      </w:r>
    </w:p>
    <w:p w14:paraId="5BC0D096" w14:textId="77777777" w:rsidR="005267F0" w:rsidRPr="00A144A3" w:rsidRDefault="005267F0" w:rsidP="00A144A3">
      <w:pPr>
        <w:pStyle w:val="ListParagraph"/>
        <w:numPr>
          <w:ilvl w:val="0"/>
          <w:numId w:val="6"/>
        </w:numPr>
        <w:shd w:val="clear" w:color="auto" w:fill="FFFFFF"/>
        <w:spacing w:after="160"/>
        <w:rPr>
          <w:color w:val="262626"/>
          <w:sz w:val="24"/>
          <w:szCs w:val="24"/>
        </w:rPr>
      </w:pPr>
      <w:r w:rsidRPr="00A144A3">
        <w:rPr>
          <w:color w:val="262626"/>
          <w:sz w:val="24"/>
          <w:szCs w:val="24"/>
        </w:rPr>
        <w:t>such other matters the LGPS regulations may specify.</w:t>
      </w:r>
    </w:p>
    <w:p w14:paraId="4909E62C" w14:textId="77777777" w:rsidR="005267F0" w:rsidRPr="00A144A3" w:rsidRDefault="005267F0" w:rsidP="005267F0">
      <w:pPr>
        <w:pStyle w:val="ListParagraph"/>
        <w:rPr>
          <w:color w:val="262626"/>
          <w:sz w:val="24"/>
          <w:szCs w:val="24"/>
        </w:rPr>
      </w:pPr>
    </w:p>
    <w:p w14:paraId="1BCFFFAD" w14:textId="77777777" w:rsidR="005267F0" w:rsidRPr="00A144A3" w:rsidRDefault="005267F0" w:rsidP="00A144A3">
      <w:pPr>
        <w:numPr>
          <w:ilvl w:val="0"/>
          <w:numId w:val="1"/>
        </w:numPr>
        <w:ind w:left="284" w:hanging="851"/>
        <w:jc w:val="both"/>
        <w:rPr>
          <w:szCs w:val="24"/>
        </w:rPr>
      </w:pPr>
      <w:r w:rsidRPr="00A144A3">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15905396" w14:textId="77777777" w:rsidR="005267F0" w:rsidRPr="00A144A3" w:rsidRDefault="005267F0" w:rsidP="005267F0">
      <w:pPr>
        <w:pStyle w:val="ListParagraph"/>
        <w:rPr>
          <w:color w:val="262626"/>
          <w:sz w:val="24"/>
          <w:szCs w:val="24"/>
        </w:rPr>
      </w:pPr>
    </w:p>
    <w:p w14:paraId="5CE35CC2" w14:textId="77777777" w:rsidR="005267F0" w:rsidRPr="00A144A3" w:rsidRDefault="005267F0" w:rsidP="00A144A3">
      <w:pPr>
        <w:numPr>
          <w:ilvl w:val="0"/>
          <w:numId w:val="1"/>
        </w:numPr>
        <w:ind w:left="284" w:hanging="851"/>
        <w:jc w:val="both"/>
        <w:rPr>
          <w:szCs w:val="24"/>
        </w:rPr>
      </w:pPr>
      <w:r w:rsidRPr="00A144A3">
        <w:rPr>
          <w:rFonts w:cs="Arial"/>
          <w:color w:val="262626"/>
          <w:szCs w:val="24"/>
          <w:lang w:eastAsia="en-GB"/>
        </w:rPr>
        <w:t>In its role, The Board will have oversight of the administration of the fund including:</w:t>
      </w:r>
    </w:p>
    <w:p w14:paraId="196A7252" w14:textId="77777777" w:rsidR="005267F0" w:rsidRPr="00A144A3" w:rsidRDefault="005267F0" w:rsidP="005267F0">
      <w:pPr>
        <w:pStyle w:val="ListParagraph"/>
        <w:rPr>
          <w:sz w:val="24"/>
          <w:szCs w:val="24"/>
        </w:rPr>
      </w:pPr>
    </w:p>
    <w:p w14:paraId="23B06039" w14:textId="77777777" w:rsidR="005267F0" w:rsidRPr="00A144A3" w:rsidRDefault="005267F0" w:rsidP="00A144A3">
      <w:pPr>
        <w:pStyle w:val="ListParagraph"/>
        <w:numPr>
          <w:ilvl w:val="0"/>
          <w:numId w:val="7"/>
        </w:numPr>
        <w:shd w:val="clear" w:color="auto" w:fill="FFFFFF"/>
        <w:rPr>
          <w:color w:val="262626"/>
          <w:sz w:val="24"/>
          <w:szCs w:val="24"/>
        </w:rPr>
      </w:pPr>
      <w:r w:rsidRPr="00A144A3">
        <w:rPr>
          <w:color w:val="262626"/>
          <w:sz w:val="24"/>
          <w:szCs w:val="24"/>
        </w:rPr>
        <w:t xml:space="preserve">The effectiveness of the </w:t>
      </w:r>
      <w:proofErr w:type="gramStart"/>
      <w:r w:rsidRPr="00A144A3">
        <w:rPr>
          <w:color w:val="262626"/>
          <w:sz w:val="24"/>
          <w:szCs w:val="24"/>
        </w:rPr>
        <w:t>decision making</w:t>
      </w:r>
      <w:proofErr w:type="gramEnd"/>
      <w:r w:rsidRPr="00A144A3">
        <w:rPr>
          <w:color w:val="262626"/>
          <w:sz w:val="24"/>
          <w:szCs w:val="24"/>
        </w:rPr>
        <w:t xml:space="preserve"> process</w:t>
      </w:r>
    </w:p>
    <w:p w14:paraId="40683988" w14:textId="77777777" w:rsidR="005267F0" w:rsidRPr="00A144A3" w:rsidRDefault="005267F0" w:rsidP="00A144A3">
      <w:pPr>
        <w:pStyle w:val="ListParagraph"/>
        <w:numPr>
          <w:ilvl w:val="0"/>
          <w:numId w:val="7"/>
        </w:numPr>
        <w:shd w:val="clear" w:color="auto" w:fill="FFFFFF"/>
        <w:rPr>
          <w:color w:val="262626"/>
          <w:sz w:val="24"/>
          <w:szCs w:val="24"/>
        </w:rPr>
      </w:pPr>
      <w:r w:rsidRPr="00A144A3">
        <w:rPr>
          <w:color w:val="262626"/>
          <w:sz w:val="24"/>
          <w:szCs w:val="24"/>
        </w:rPr>
        <w:t>The direction of the Fund and its overall objectives</w:t>
      </w:r>
    </w:p>
    <w:p w14:paraId="7973F38A" w14:textId="77777777" w:rsidR="005267F0" w:rsidRPr="00A144A3" w:rsidRDefault="005267F0" w:rsidP="00A144A3">
      <w:pPr>
        <w:pStyle w:val="ListParagraph"/>
        <w:numPr>
          <w:ilvl w:val="0"/>
          <w:numId w:val="7"/>
        </w:numPr>
        <w:shd w:val="clear" w:color="auto" w:fill="FFFFFF"/>
        <w:rPr>
          <w:color w:val="262626"/>
          <w:sz w:val="24"/>
          <w:szCs w:val="24"/>
        </w:rPr>
      </w:pPr>
      <w:r w:rsidRPr="00A144A3">
        <w:rPr>
          <w:color w:val="262626"/>
          <w:sz w:val="24"/>
          <w:szCs w:val="24"/>
        </w:rPr>
        <w:t>The level of transparency in the conduct of the Fund’s activities</w:t>
      </w:r>
    </w:p>
    <w:p w14:paraId="7052ECDE" w14:textId="77777777" w:rsidR="005267F0" w:rsidRPr="00A144A3" w:rsidRDefault="005267F0" w:rsidP="00A144A3">
      <w:pPr>
        <w:pStyle w:val="ListParagraph"/>
        <w:numPr>
          <w:ilvl w:val="0"/>
          <w:numId w:val="7"/>
        </w:numPr>
        <w:shd w:val="clear" w:color="auto" w:fill="FFFFFF"/>
        <w:rPr>
          <w:color w:val="262626"/>
          <w:sz w:val="24"/>
          <w:szCs w:val="24"/>
        </w:rPr>
      </w:pPr>
      <w:r w:rsidRPr="00A144A3">
        <w:rPr>
          <w:color w:val="262626"/>
          <w:sz w:val="24"/>
          <w:szCs w:val="24"/>
        </w:rPr>
        <w:t>The administration of benefits and contributions</w:t>
      </w:r>
    </w:p>
    <w:p w14:paraId="3855E4AE" w14:textId="77777777" w:rsidR="005267F0" w:rsidRPr="00A144A3" w:rsidRDefault="005267F0" w:rsidP="005267F0">
      <w:pPr>
        <w:rPr>
          <w:color w:val="262626"/>
          <w:szCs w:val="24"/>
        </w:rPr>
      </w:pPr>
    </w:p>
    <w:p w14:paraId="5232AD91" w14:textId="77777777" w:rsidR="005267F0" w:rsidRPr="00A144A3" w:rsidRDefault="005267F0" w:rsidP="00A144A3">
      <w:pPr>
        <w:numPr>
          <w:ilvl w:val="0"/>
          <w:numId w:val="1"/>
        </w:numPr>
        <w:ind w:left="284" w:hanging="851"/>
        <w:jc w:val="both"/>
        <w:rPr>
          <w:szCs w:val="24"/>
        </w:rPr>
      </w:pPr>
      <w:r w:rsidRPr="00A144A3">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7D398304" w14:textId="77777777" w:rsidR="005267F0" w:rsidRPr="00A144A3" w:rsidRDefault="005267F0" w:rsidP="005267F0">
      <w:pPr>
        <w:pStyle w:val="ListParagraph"/>
        <w:rPr>
          <w:color w:val="262626"/>
          <w:sz w:val="24"/>
          <w:szCs w:val="24"/>
        </w:rPr>
      </w:pPr>
    </w:p>
    <w:p w14:paraId="22642D83" w14:textId="77777777" w:rsidR="005267F0" w:rsidRPr="00A144A3" w:rsidRDefault="005267F0" w:rsidP="00A144A3">
      <w:pPr>
        <w:numPr>
          <w:ilvl w:val="0"/>
          <w:numId w:val="1"/>
        </w:numPr>
        <w:ind w:left="284" w:hanging="851"/>
        <w:jc w:val="both"/>
        <w:rPr>
          <w:szCs w:val="24"/>
        </w:rPr>
      </w:pPr>
      <w:r w:rsidRPr="00A144A3">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7832B435" w14:textId="77777777" w:rsidR="005267F0" w:rsidRPr="00A144A3" w:rsidRDefault="005267F0" w:rsidP="005267F0">
      <w:pPr>
        <w:pStyle w:val="ListParagraph"/>
        <w:rPr>
          <w:color w:val="262626"/>
          <w:sz w:val="24"/>
          <w:szCs w:val="24"/>
        </w:rPr>
      </w:pPr>
    </w:p>
    <w:p w14:paraId="4C38493E" w14:textId="77777777" w:rsidR="005267F0" w:rsidRPr="00A144A3" w:rsidRDefault="005267F0" w:rsidP="00A144A3">
      <w:pPr>
        <w:numPr>
          <w:ilvl w:val="0"/>
          <w:numId w:val="1"/>
        </w:numPr>
        <w:ind w:left="284" w:hanging="851"/>
        <w:jc w:val="both"/>
        <w:rPr>
          <w:szCs w:val="24"/>
        </w:rPr>
      </w:pPr>
      <w:r w:rsidRPr="00A144A3">
        <w:rPr>
          <w:rFonts w:cs="Arial"/>
          <w:color w:val="262626"/>
          <w:szCs w:val="24"/>
          <w:lang w:eastAsia="en-GB"/>
        </w:rPr>
        <w:t>The Board shall meet sufficiently regularly to discharge its duties and responsibilities effectively.</w:t>
      </w:r>
    </w:p>
    <w:p w14:paraId="40A4BAC0" w14:textId="77777777" w:rsidR="007B6C97" w:rsidRDefault="007B6C97" w:rsidP="007B6C97">
      <w:pPr>
        <w:pStyle w:val="Heading2"/>
        <w:spacing w:after="240"/>
      </w:pPr>
      <w:r>
        <w:t>Financial Implications</w:t>
      </w:r>
    </w:p>
    <w:p w14:paraId="6CD06EE0" w14:textId="77777777" w:rsidR="00C85F88" w:rsidRPr="00ED1007" w:rsidRDefault="00C85F88" w:rsidP="00A144A3">
      <w:pPr>
        <w:numPr>
          <w:ilvl w:val="0"/>
          <w:numId w:val="2"/>
        </w:numPr>
        <w:tabs>
          <w:tab w:val="clear" w:pos="584"/>
          <w:tab w:val="num" w:pos="284"/>
        </w:tabs>
        <w:autoSpaceDE w:val="0"/>
        <w:autoSpaceDN w:val="0"/>
        <w:adjustRightInd w:val="0"/>
        <w:ind w:left="284" w:hanging="851"/>
        <w:jc w:val="both"/>
        <w:rPr>
          <w:szCs w:val="24"/>
          <w:lang w:val="en-US"/>
        </w:rPr>
      </w:pPr>
      <w:r w:rsidRPr="00ED1007">
        <w:rPr>
          <w:szCs w:val="24"/>
          <w:lang w:val="en-US"/>
        </w:rPr>
        <w:lastRenderedPageBreak/>
        <w:t>Whilst the performance and effective controls of the fund managers is of paramount importance in the performance of the Pension Fund, there are no direct financial implications arising from this report.</w:t>
      </w:r>
    </w:p>
    <w:p w14:paraId="2B1DEF02" w14:textId="77777777" w:rsidR="00690F76" w:rsidRPr="003D2FFE" w:rsidRDefault="00690F76" w:rsidP="00B902AE">
      <w:pPr>
        <w:pStyle w:val="Heading2"/>
        <w:spacing w:after="240"/>
        <w:jc w:val="both"/>
      </w:pPr>
      <w:r>
        <w:t>Risk Management Implications</w:t>
      </w:r>
    </w:p>
    <w:p w14:paraId="564A448C" w14:textId="0CD350C5" w:rsidR="007B6C97" w:rsidRPr="00690F76" w:rsidRDefault="00690F76" w:rsidP="00A144A3">
      <w:pPr>
        <w:numPr>
          <w:ilvl w:val="0"/>
          <w:numId w:val="2"/>
        </w:numPr>
        <w:tabs>
          <w:tab w:val="clear" w:pos="584"/>
          <w:tab w:val="num" w:pos="284"/>
        </w:tabs>
        <w:autoSpaceDE w:val="0"/>
        <w:autoSpaceDN w:val="0"/>
        <w:adjustRightInd w:val="0"/>
        <w:ind w:left="284" w:hanging="851"/>
        <w:jc w:val="both"/>
        <w:rPr>
          <w:rFonts w:cs="Arial"/>
          <w:color w:val="000000"/>
          <w:szCs w:val="24"/>
          <w:lang w:eastAsia="en-GB"/>
        </w:rPr>
      </w:pPr>
      <w:r w:rsidRPr="00690F76">
        <w:rPr>
          <w:szCs w:val="24"/>
          <w:lang w:val="en-US"/>
        </w:rPr>
        <w:t xml:space="preserve">Risks included on corporate or directorate risk </w:t>
      </w:r>
      <w:r w:rsidR="00B902AE" w:rsidRPr="00690F76">
        <w:rPr>
          <w:szCs w:val="24"/>
          <w:lang w:val="en-US"/>
        </w:rPr>
        <w:t>register</w:t>
      </w:r>
      <w:r w:rsidR="00B902AE">
        <w:rPr>
          <w:szCs w:val="24"/>
          <w:lang w:val="en-US"/>
        </w:rPr>
        <w:t>?</w:t>
      </w:r>
      <w:r w:rsidRPr="00690F76">
        <w:rPr>
          <w:szCs w:val="24"/>
          <w:lang w:val="en-US"/>
        </w:rPr>
        <w:t xml:space="preserve"> </w:t>
      </w:r>
      <w:r w:rsidRPr="00690F76">
        <w:rPr>
          <w:b/>
          <w:bCs/>
          <w:szCs w:val="24"/>
          <w:lang w:val="en-US"/>
        </w:rPr>
        <w:t>No</w:t>
      </w:r>
      <w:r w:rsidRPr="00690F76">
        <w:rPr>
          <w:szCs w:val="24"/>
          <w:lang w:val="en-US"/>
        </w:rPr>
        <w:t xml:space="preserve"> </w:t>
      </w:r>
    </w:p>
    <w:p w14:paraId="0A3EA8F0" w14:textId="11BFE7CF" w:rsidR="00690F76" w:rsidRPr="00690F76" w:rsidRDefault="00346244" w:rsidP="00346244">
      <w:pPr>
        <w:tabs>
          <w:tab w:val="num" w:pos="284"/>
        </w:tabs>
        <w:ind w:right="141"/>
        <w:jc w:val="both"/>
        <w:rPr>
          <w:color w:val="4F81BD" w:themeColor="accent1"/>
          <w:szCs w:val="24"/>
          <w:lang w:val="en-US"/>
        </w:rPr>
      </w:pPr>
      <w:r>
        <w:rPr>
          <w:szCs w:val="24"/>
          <w:lang w:val="en-US"/>
        </w:rPr>
        <w:tab/>
      </w:r>
      <w:r w:rsidR="00690F76" w:rsidRPr="00690F76">
        <w:rPr>
          <w:szCs w:val="24"/>
          <w:lang w:val="en-US"/>
        </w:rPr>
        <w:t xml:space="preserve">Separate risk </w:t>
      </w:r>
      <w:proofErr w:type="gramStart"/>
      <w:r w:rsidR="00690F76" w:rsidRPr="00690F76">
        <w:rPr>
          <w:szCs w:val="24"/>
          <w:lang w:val="en-US"/>
        </w:rPr>
        <w:t>register</w:t>
      </w:r>
      <w:proofErr w:type="gramEnd"/>
      <w:r w:rsidR="00690F76" w:rsidRPr="00690F76">
        <w:rPr>
          <w:szCs w:val="24"/>
          <w:lang w:val="en-US"/>
        </w:rPr>
        <w:t xml:space="preserve"> in place? </w:t>
      </w:r>
      <w:r w:rsidR="00690F76" w:rsidRPr="00690F76">
        <w:rPr>
          <w:b/>
          <w:bCs/>
          <w:szCs w:val="24"/>
          <w:lang w:val="en-US"/>
        </w:rPr>
        <w:t>Yes</w:t>
      </w:r>
    </w:p>
    <w:p w14:paraId="1EB19CA1" w14:textId="77777777" w:rsidR="00690F76" w:rsidRPr="00690F76" w:rsidRDefault="00690F76" w:rsidP="00B902AE">
      <w:pPr>
        <w:autoSpaceDE w:val="0"/>
        <w:autoSpaceDN w:val="0"/>
        <w:adjustRightInd w:val="0"/>
        <w:ind w:left="426"/>
        <w:jc w:val="both"/>
        <w:rPr>
          <w:rFonts w:cs="Arial"/>
          <w:color w:val="000000"/>
          <w:szCs w:val="24"/>
          <w:lang w:eastAsia="en-GB"/>
        </w:rPr>
      </w:pPr>
    </w:p>
    <w:p w14:paraId="40F78A56" w14:textId="7869AE9C" w:rsidR="003F5AF9" w:rsidRPr="00480F0B" w:rsidRDefault="00690F76" w:rsidP="00A144A3">
      <w:pPr>
        <w:numPr>
          <w:ilvl w:val="0"/>
          <w:numId w:val="2"/>
        </w:numPr>
        <w:autoSpaceDE w:val="0"/>
        <w:autoSpaceDN w:val="0"/>
        <w:adjustRightInd w:val="0"/>
        <w:ind w:left="284" w:hanging="851"/>
        <w:jc w:val="both"/>
        <w:rPr>
          <w:rFonts w:cs="Arial"/>
          <w:color w:val="000000"/>
          <w:szCs w:val="24"/>
          <w:lang w:eastAsia="en-GB"/>
        </w:rPr>
      </w:pPr>
      <w:r w:rsidRPr="00690F76">
        <w:t>The Pension Fund’s Risk Register is reviewed regularly by both th</w:t>
      </w:r>
      <w:r w:rsidR="00D44272">
        <w:t>e</w:t>
      </w:r>
      <w:r w:rsidRPr="00690F76">
        <w:t xml:space="preserve"> Committee and the Pension Board. </w:t>
      </w:r>
    </w:p>
    <w:p w14:paraId="17031109" w14:textId="77777777" w:rsidR="00480F0B" w:rsidRPr="00480F0B" w:rsidRDefault="00480F0B" w:rsidP="00480F0B">
      <w:pPr>
        <w:autoSpaceDE w:val="0"/>
        <w:autoSpaceDN w:val="0"/>
        <w:adjustRightInd w:val="0"/>
        <w:ind w:left="426"/>
        <w:jc w:val="both"/>
        <w:rPr>
          <w:rFonts w:cs="Arial"/>
          <w:color w:val="000000"/>
          <w:szCs w:val="24"/>
          <w:lang w:eastAsia="en-GB"/>
        </w:rPr>
      </w:pPr>
    </w:p>
    <w:p w14:paraId="2B078D5F" w14:textId="15C7C654" w:rsidR="003F5AF9" w:rsidRPr="00001D28" w:rsidRDefault="003F5AF9" w:rsidP="00A144A3">
      <w:pPr>
        <w:numPr>
          <w:ilvl w:val="0"/>
          <w:numId w:val="2"/>
        </w:numPr>
        <w:tabs>
          <w:tab w:val="clear" w:pos="584"/>
          <w:tab w:val="num" w:pos="284"/>
        </w:tabs>
        <w:autoSpaceDE w:val="0"/>
        <w:autoSpaceDN w:val="0"/>
        <w:adjustRightInd w:val="0"/>
        <w:ind w:left="284" w:hanging="851"/>
        <w:jc w:val="both"/>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B902AE">
      <w:pPr>
        <w:pStyle w:val="Heading2"/>
        <w:keepNext/>
        <w:spacing w:after="240"/>
        <w:jc w:val="both"/>
      </w:pPr>
      <w:r w:rsidRPr="003F5AF9">
        <w:t>Equalities implications</w:t>
      </w:r>
      <w:r w:rsidR="00213BE7" w:rsidRPr="003F5AF9">
        <w:t xml:space="preserve"> / Public Sector Equality Duty </w:t>
      </w:r>
    </w:p>
    <w:p w14:paraId="45958F5A" w14:textId="77777777" w:rsidR="003F5AF9" w:rsidRPr="002E705F" w:rsidRDefault="003F5AF9" w:rsidP="00A144A3">
      <w:pPr>
        <w:numPr>
          <w:ilvl w:val="0"/>
          <w:numId w:val="2"/>
        </w:numPr>
        <w:tabs>
          <w:tab w:val="clear" w:pos="584"/>
          <w:tab w:val="num" w:pos="284"/>
        </w:tabs>
        <w:autoSpaceDE w:val="0"/>
        <w:autoSpaceDN w:val="0"/>
        <w:adjustRightInd w:val="0"/>
        <w:ind w:hanging="1151"/>
        <w:jc w:val="both"/>
        <w:rPr>
          <w:rFonts w:cs="Arial"/>
          <w:color w:val="000000"/>
          <w:szCs w:val="24"/>
          <w:lang w:eastAsia="en-GB"/>
        </w:rPr>
      </w:pPr>
      <w:r w:rsidRPr="002E705F">
        <w:rPr>
          <w:szCs w:val="24"/>
        </w:rPr>
        <w:t xml:space="preserve">Was an Equality Impact Assessment carried out?  No </w:t>
      </w:r>
    </w:p>
    <w:p w14:paraId="0C2F27D8" w14:textId="4DBA45E0" w:rsidR="00FD31A0" w:rsidRPr="004A2543" w:rsidRDefault="00346244" w:rsidP="00346244">
      <w:pPr>
        <w:tabs>
          <w:tab w:val="num" w:pos="284"/>
        </w:tabs>
        <w:autoSpaceDE w:val="0"/>
        <w:autoSpaceDN w:val="0"/>
        <w:adjustRightInd w:val="0"/>
        <w:jc w:val="both"/>
      </w:pPr>
      <w:r>
        <w:rPr>
          <w:szCs w:val="24"/>
        </w:rPr>
        <w:tab/>
      </w:r>
      <w:r w:rsidR="003F5AF9" w:rsidRPr="002E705F">
        <w:rPr>
          <w:szCs w:val="24"/>
        </w:rPr>
        <w:t>There are no direct equalities implications arising from this report.</w:t>
      </w:r>
    </w:p>
    <w:p w14:paraId="1EF4F8CB" w14:textId="77777777" w:rsidR="004B4A47" w:rsidRPr="003F5AF9" w:rsidRDefault="00AC0AAB" w:rsidP="00B902AE">
      <w:pPr>
        <w:pStyle w:val="Heading2"/>
        <w:spacing w:after="240"/>
        <w:jc w:val="both"/>
      </w:pPr>
      <w:r w:rsidRPr="003F5AF9">
        <w:t xml:space="preserve">Council </w:t>
      </w:r>
      <w:r w:rsidR="004B4A47" w:rsidRPr="003F5AF9">
        <w:t>Priorities</w:t>
      </w:r>
    </w:p>
    <w:p w14:paraId="13CD0946" w14:textId="2E70E655" w:rsidR="003F5AF9" w:rsidRPr="001744D1" w:rsidRDefault="003F5AF9" w:rsidP="00A144A3">
      <w:pPr>
        <w:numPr>
          <w:ilvl w:val="0"/>
          <w:numId w:val="2"/>
        </w:numPr>
        <w:tabs>
          <w:tab w:val="clear" w:pos="584"/>
          <w:tab w:val="num" w:pos="284"/>
        </w:tabs>
        <w:autoSpaceDE w:val="0"/>
        <w:autoSpaceDN w:val="0"/>
        <w:adjustRightInd w:val="0"/>
        <w:ind w:left="284" w:hanging="851"/>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11BF41CC" w14:textId="4C94422D" w:rsidR="002A2389" w:rsidRDefault="00183CB6" w:rsidP="00912904">
      <w:pPr>
        <w:pStyle w:val="Heading2"/>
      </w:pPr>
      <w:r>
        <w:t>S</w:t>
      </w:r>
      <w:r w:rsidR="002A2389">
        <w:t>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1C22D940" w:rsidR="00912904" w:rsidRPr="00A66326" w:rsidRDefault="00912904" w:rsidP="00912904">
      <w:pPr>
        <w:rPr>
          <w:sz w:val="28"/>
        </w:rPr>
      </w:pPr>
      <w:r w:rsidRPr="00A66326">
        <w:rPr>
          <w:b/>
          <w:sz w:val="28"/>
        </w:rPr>
        <w:t xml:space="preserve">Statutory Officer:  </w:t>
      </w:r>
      <w:bookmarkStart w:id="0" w:name="_Hlk144884151"/>
      <w:r w:rsidR="00A22721">
        <w:rPr>
          <w:b/>
          <w:sz w:val="28"/>
        </w:rPr>
        <w:t>Sharon Daniels</w:t>
      </w:r>
      <w:bookmarkEnd w:id="0"/>
    </w:p>
    <w:p w14:paraId="57640BD9" w14:textId="3A3DF721" w:rsidR="00912904" w:rsidRPr="00A66326" w:rsidRDefault="00912904" w:rsidP="00912904">
      <w:r w:rsidRPr="00A66326">
        <w:t>Signed by the Chief Financial Officer</w:t>
      </w:r>
    </w:p>
    <w:p w14:paraId="7DF3B061" w14:textId="20CF3D0B" w:rsidR="009303ED" w:rsidRPr="00A66326" w:rsidRDefault="00912904" w:rsidP="009303ED">
      <w:pPr>
        <w:spacing w:after="480"/>
        <w:rPr>
          <w:sz w:val="28"/>
        </w:rPr>
      </w:pPr>
      <w:r w:rsidRPr="00A66326">
        <w:rPr>
          <w:b/>
          <w:sz w:val="28"/>
        </w:rPr>
        <w:t xml:space="preserve">Date:  </w:t>
      </w:r>
      <w:r w:rsidR="00D44272">
        <w:rPr>
          <w:b/>
          <w:sz w:val="28"/>
        </w:rPr>
        <w:t>1</w:t>
      </w:r>
      <w:r w:rsidR="00867CA3">
        <w:rPr>
          <w:b/>
          <w:sz w:val="28"/>
        </w:rPr>
        <w:t>9</w:t>
      </w:r>
      <w:r w:rsidR="009303ED">
        <w:rPr>
          <w:b/>
          <w:sz w:val="28"/>
        </w:rPr>
        <w:t xml:space="preserve"> </w:t>
      </w:r>
      <w:r w:rsidR="00867CA3">
        <w:rPr>
          <w:b/>
          <w:sz w:val="28"/>
        </w:rPr>
        <w:t>Octo</w:t>
      </w:r>
      <w:r w:rsidR="00A22721">
        <w:rPr>
          <w:b/>
          <w:sz w:val="28"/>
        </w:rPr>
        <w:t>ber</w:t>
      </w:r>
      <w:r w:rsidR="009303ED">
        <w:rPr>
          <w:b/>
          <w:sz w:val="28"/>
        </w:rPr>
        <w:t xml:space="preserve"> 2023</w:t>
      </w:r>
    </w:p>
    <w:p w14:paraId="2586CC50" w14:textId="0FFF3297" w:rsidR="00912904" w:rsidRPr="00A66326" w:rsidRDefault="00912904" w:rsidP="00912904">
      <w:pPr>
        <w:rPr>
          <w:sz w:val="28"/>
        </w:rPr>
      </w:pPr>
      <w:r w:rsidRPr="00A66326">
        <w:rPr>
          <w:b/>
          <w:sz w:val="28"/>
        </w:rPr>
        <w:t xml:space="preserve">Statutory Officer:  </w:t>
      </w:r>
      <w:r w:rsidR="00001D28">
        <w:rPr>
          <w:b/>
          <w:sz w:val="28"/>
        </w:rPr>
        <w:t>Sharon Clarke</w:t>
      </w:r>
    </w:p>
    <w:p w14:paraId="3F58D77A" w14:textId="5B53C837" w:rsidR="00912904" w:rsidRPr="00A66326" w:rsidRDefault="00912904" w:rsidP="00912904">
      <w:r w:rsidRPr="00A66326">
        <w:t>Signed on behalf of the Monitoring Officer</w:t>
      </w:r>
    </w:p>
    <w:p w14:paraId="1C88BE00" w14:textId="5A9DDBD6" w:rsidR="009303ED" w:rsidRPr="00A66326" w:rsidRDefault="00912904" w:rsidP="009303ED">
      <w:pPr>
        <w:spacing w:after="480"/>
        <w:rPr>
          <w:sz w:val="28"/>
        </w:rPr>
      </w:pPr>
      <w:r w:rsidRPr="00A66326">
        <w:rPr>
          <w:b/>
          <w:sz w:val="28"/>
        </w:rPr>
        <w:t>Date:</w:t>
      </w:r>
      <w:r w:rsidR="00E23991">
        <w:rPr>
          <w:b/>
          <w:sz w:val="28"/>
        </w:rPr>
        <w:t xml:space="preserve"> </w:t>
      </w:r>
      <w:r w:rsidR="00D44272">
        <w:rPr>
          <w:b/>
          <w:sz w:val="28"/>
        </w:rPr>
        <w:t>16</w:t>
      </w:r>
      <w:r w:rsidR="009303ED">
        <w:rPr>
          <w:b/>
          <w:sz w:val="28"/>
        </w:rPr>
        <w:t xml:space="preserve"> </w:t>
      </w:r>
      <w:r w:rsidR="00867CA3">
        <w:rPr>
          <w:b/>
          <w:sz w:val="28"/>
        </w:rPr>
        <w:t>Octo</w:t>
      </w:r>
      <w:r w:rsidR="00A22721">
        <w:rPr>
          <w:b/>
          <w:sz w:val="28"/>
        </w:rPr>
        <w:t>ber</w:t>
      </w:r>
      <w:r w:rsidR="009303ED">
        <w:rPr>
          <w:b/>
          <w:sz w:val="28"/>
        </w:rPr>
        <w:t xml:space="preserve"> 2023</w:t>
      </w:r>
    </w:p>
    <w:p w14:paraId="2019A53D" w14:textId="7FD52E41" w:rsidR="00912904" w:rsidRPr="00A66326" w:rsidRDefault="004A4A1D" w:rsidP="00912904">
      <w:pPr>
        <w:rPr>
          <w:sz w:val="28"/>
        </w:rPr>
      </w:pPr>
      <w:r>
        <w:rPr>
          <w:b/>
          <w:sz w:val="28"/>
        </w:rPr>
        <w:t>Chief</w:t>
      </w:r>
      <w:r w:rsidR="00912904" w:rsidRPr="00A66326">
        <w:rPr>
          <w:b/>
          <w:sz w:val="28"/>
        </w:rPr>
        <w:t xml:space="preserve"> Officer:  </w:t>
      </w:r>
      <w:r w:rsidR="00A22721">
        <w:rPr>
          <w:b/>
          <w:sz w:val="28"/>
        </w:rPr>
        <w:t>Sharon Daniels</w:t>
      </w:r>
    </w:p>
    <w:p w14:paraId="12E4D11B" w14:textId="7C324D23" w:rsidR="00912904" w:rsidRPr="00A66326" w:rsidRDefault="00365D29" w:rsidP="00912904">
      <w:r>
        <w:t>Signed</w:t>
      </w:r>
      <w:r w:rsidR="00912904" w:rsidRPr="00A66326">
        <w:t xml:space="preserve"> </w:t>
      </w:r>
      <w:r w:rsidR="00017448">
        <w:t>on behalf of</w:t>
      </w:r>
      <w:r w:rsidR="00912904" w:rsidRPr="00A66326">
        <w:t xml:space="preserve"> the </w:t>
      </w:r>
      <w:r w:rsidR="006519E8">
        <w:t>Chief Executive</w:t>
      </w:r>
    </w:p>
    <w:p w14:paraId="0B8C3BCD" w14:textId="3E96EE07" w:rsidR="009303ED" w:rsidRPr="00A66326" w:rsidRDefault="00912904" w:rsidP="009303ED">
      <w:pPr>
        <w:spacing w:after="480"/>
        <w:rPr>
          <w:sz w:val="28"/>
        </w:rPr>
      </w:pPr>
      <w:r w:rsidRPr="00A66326">
        <w:rPr>
          <w:b/>
          <w:sz w:val="28"/>
        </w:rPr>
        <w:t xml:space="preserve">Date:  </w:t>
      </w:r>
      <w:r w:rsidR="00D44272">
        <w:rPr>
          <w:b/>
          <w:sz w:val="28"/>
        </w:rPr>
        <w:t>1</w:t>
      </w:r>
      <w:r w:rsidR="00867CA3">
        <w:rPr>
          <w:b/>
          <w:sz w:val="28"/>
        </w:rPr>
        <w:t>9</w:t>
      </w:r>
      <w:r w:rsidR="009303ED">
        <w:rPr>
          <w:b/>
          <w:sz w:val="28"/>
        </w:rPr>
        <w:t xml:space="preserve"> </w:t>
      </w:r>
      <w:r w:rsidR="00867CA3">
        <w:rPr>
          <w:b/>
          <w:sz w:val="28"/>
        </w:rPr>
        <w:t>Octo</w:t>
      </w:r>
      <w:r w:rsidR="00A22721">
        <w:rPr>
          <w:b/>
          <w:sz w:val="28"/>
        </w:rPr>
        <w:t>ber</w:t>
      </w:r>
      <w:r w:rsidR="009303ED">
        <w:rPr>
          <w:b/>
          <w:sz w:val="28"/>
        </w:rPr>
        <w:t xml:space="preserve"> 2023</w:t>
      </w:r>
    </w:p>
    <w:p w14:paraId="75A860FB" w14:textId="77777777" w:rsidR="00867CA3" w:rsidRDefault="00867CA3" w:rsidP="00912904">
      <w:pPr>
        <w:pStyle w:val="Heading2"/>
        <w:spacing w:after="240"/>
      </w:pPr>
    </w:p>
    <w:p w14:paraId="686CE5D8" w14:textId="05E9CE9F" w:rsidR="00912904" w:rsidRPr="00435B5D" w:rsidRDefault="00912904" w:rsidP="00912904">
      <w:pPr>
        <w:pStyle w:val="Heading2"/>
        <w:spacing w:after="240"/>
      </w:pPr>
      <w:r>
        <w:lastRenderedPageBreak/>
        <w:t>Mandatory Checks</w:t>
      </w:r>
    </w:p>
    <w:p w14:paraId="71FBC41D" w14:textId="07B4AF47" w:rsidR="00912904" w:rsidRPr="003313EA" w:rsidRDefault="00912904" w:rsidP="007B6C97">
      <w:pPr>
        <w:pStyle w:val="Heading3"/>
        <w:ind w:left="0" w:firstLine="0"/>
        <w:rPr>
          <w:i/>
          <w:color w:val="FF0000"/>
          <w:szCs w:val="24"/>
        </w:rPr>
      </w:pPr>
      <w:r w:rsidRPr="00E90AFF">
        <w:rPr>
          <w:sz w:val="28"/>
        </w:rPr>
        <w:t>Ward Councillors notified:  N</w:t>
      </w:r>
      <w:r w:rsidR="00017448" w:rsidRPr="00E90AFF">
        <w:rPr>
          <w:sz w:val="28"/>
        </w:rPr>
        <w:t>o</w:t>
      </w:r>
      <w:r w:rsidR="00017448">
        <w:rPr>
          <w:sz w:val="28"/>
        </w:rPr>
        <w:t>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60BFDA03" w14:textId="77777777" w:rsidR="00183CB6" w:rsidRDefault="00183CB6" w:rsidP="00183CB6">
      <w:pPr>
        <w:pStyle w:val="Infotext"/>
        <w:rPr>
          <w:sz w:val="24"/>
          <w:szCs w:val="24"/>
        </w:rPr>
      </w:pPr>
      <w:r w:rsidRPr="00D914D2">
        <w:rPr>
          <w:b/>
        </w:rPr>
        <w:t>Contact:</w:t>
      </w:r>
      <w:r>
        <w:t xml:space="preserve">  </w:t>
      </w:r>
      <w:r>
        <w:rPr>
          <w:sz w:val="24"/>
          <w:szCs w:val="24"/>
        </w:rPr>
        <w:t xml:space="preserve">Bola Tobun – Treasury and </w:t>
      </w:r>
      <w:r w:rsidRPr="00A175BD">
        <w:rPr>
          <w:sz w:val="24"/>
          <w:szCs w:val="24"/>
        </w:rPr>
        <w:t xml:space="preserve">Pensions </w:t>
      </w:r>
      <w:r>
        <w:rPr>
          <w:sz w:val="24"/>
          <w:szCs w:val="24"/>
        </w:rPr>
        <w:t>Manager</w:t>
      </w:r>
    </w:p>
    <w:p w14:paraId="3B1B9F4C" w14:textId="77777777" w:rsidR="00183CB6" w:rsidRDefault="00183CB6" w:rsidP="00183CB6">
      <w:pPr>
        <w:pStyle w:val="Infotext"/>
        <w:rPr>
          <w:rStyle w:val="Hyperlink"/>
          <w:sz w:val="24"/>
          <w:szCs w:val="24"/>
        </w:rPr>
      </w:pPr>
      <w:r w:rsidRPr="00A175BD">
        <w:rPr>
          <w:sz w:val="24"/>
          <w:szCs w:val="24"/>
        </w:rPr>
        <w:t xml:space="preserve">Email: </w:t>
      </w:r>
      <w:hyperlink r:id="rId13" w:history="1">
        <w:r w:rsidRPr="001564E8">
          <w:rPr>
            <w:rStyle w:val="Hyperlink"/>
            <w:sz w:val="24"/>
            <w:szCs w:val="24"/>
          </w:rPr>
          <w:t>Bola.Tobun@harrow.gov.uk</w:t>
        </w:r>
      </w:hyperlink>
    </w:p>
    <w:p w14:paraId="2DBB0A44" w14:textId="77777777" w:rsidR="00183CB6" w:rsidRDefault="00183CB6" w:rsidP="00183CB6">
      <w:pPr>
        <w:pStyle w:val="Infotext"/>
        <w:rPr>
          <w:rStyle w:val="Hyperlink"/>
          <w:color w:val="auto"/>
          <w:sz w:val="24"/>
          <w:szCs w:val="24"/>
          <w:u w:val="none"/>
        </w:rPr>
      </w:pPr>
      <w:r w:rsidRPr="00DD6270">
        <w:rPr>
          <w:rStyle w:val="Hyperlink"/>
          <w:color w:val="auto"/>
          <w:sz w:val="24"/>
          <w:szCs w:val="24"/>
          <w:u w:val="none"/>
        </w:rPr>
        <w:t xml:space="preserve">Telephone 020 </w:t>
      </w:r>
      <w:r>
        <w:rPr>
          <w:rStyle w:val="Hyperlink"/>
          <w:color w:val="auto"/>
          <w:sz w:val="24"/>
          <w:szCs w:val="24"/>
          <w:u w:val="none"/>
        </w:rPr>
        <w:t>8420 9264</w:t>
      </w:r>
    </w:p>
    <w:p w14:paraId="1C4BF2D4" w14:textId="3E50D6E9" w:rsidR="002A2389" w:rsidRDefault="002A2389">
      <w:pPr>
        <w:pStyle w:val="Infotext"/>
      </w:pPr>
    </w:p>
    <w:p w14:paraId="28AF6FE8" w14:textId="05E6E968" w:rsidR="002A2389" w:rsidRDefault="002A2389" w:rsidP="00912904">
      <w:pPr>
        <w:pStyle w:val="Infotext"/>
        <w:spacing w:before="360"/>
      </w:pPr>
      <w:r w:rsidRPr="00D914D2">
        <w:rPr>
          <w:b/>
        </w:rPr>
        <w:t>Background Papers</w:t>
      </w:r>
      <w:r>
        <w:t xml:space="preserve">:  </w:t>
      </w:r>
      <w:r w:rsidR="007B6C97">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CA02" w14:textId="77777777" w:rsidR="007A024F" w:rsidRDefault="007A024F">
      <w:r>
        <w:separator/>
      </w:r>
    </w:p>
  </w:endnote>
  <w:endnote w:type="continuationSeparator" w:id="0">
    <w:p w14:paraId="420E4A64" w14:textId="77777777" w:rsidR="007A024F" w:rsidRDefault="007A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5D15" w14:textId="77777777" w:rsidR="007A024F" w:rsidRDefault="007A024F">
      <w:r>
        <w:separator/>
      </w:r>
    </w:p>
  </w:footnote>
  <w:footnote w:type="continuationSeparator" w:id="0">
    <w:p w14:paraId="65637038" w14:textId="77777777" w:rsidR="007A024F" w:rsidRDefault="007A0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42E"/>
    <w:multiLevelType w:val="hybridMultilevel"/>
    <w:tmpl w:val="A692AE12"/>
    <w:lvl w:ilvl="0" w:tplc="42CE49A4">
      <w:start w:val="1"/>
      <w:numFmt w:val="lowerRoman"/>
      <w:lvlText w:val="%1)"/>
      <w:lvlJc w:val="left"/>
      <w:pPr>
        <w:tabs>
          <w:tab w:val="num" w:pos="681"/>
        </w:tabs>
        <w:ind w:left="681" w:hanging="397"/>
      </w:pPr>
      <w:rPr>
        <w:rFonts w:hint="default"/>
        <w:color w:val="auto"/>
      </w:rPr>
    </w:lvl>
    <w:lvl w:ilvl="1" w:tplc="FFFFFFFF" w:tentative="1">
      <w:start w:val="1"/>
      <w:numFmt w:val="lowerLetter"/>
      <w:lvlText w:val="%2."/>
      <w:lvlJc w:val="left"/>
      <w:pPr>
        <w:tabs>
          <w:tab w:val="num" w:pos="1537"/>
        </w:tabs>
        <w:ind w:left="1537" w:hanging="360"/>
      </w:pPr>
    </w:lvl>
    <w:lvl w:ilvl="2" w:tplc="FFFFFFFF" w:tentative="1">
      <w:start w:val="1"/>
      <w:numFmt w:val="lowerRoman"/>
      <w:lvlText w:val="%3."/>
      <w:lvlJc w:val="right"/>
      <w:pPr>
        <w:tabs>
          <w:tab w:val="num" w:pos="2257"/>
        </w:tabs>
        <w:ind w:left="2257" w:hanging="180"/>
      </w:pPr>
    </w:lvl>
    <w:lvl w:ilvl="3" w:tplc="FFFFFFFF" w:tentative="1">
      <w:start w:val="1"/>
      <w:numFmt w:val="decimal"/>
      <w:lvlText w:val="%4."/>
      <w:lvlJc w:val="left"/>
      <w:pPr>
        <w:tabs>
          <w:tab w:val="num" w:pos="2977"/>
        </w:tabs>
        <w:ind w:left="2977" w:hanging="360"/>
      </w:pPr>
    </w:lvl>
    <w:lvl w:ilvl="4" w:tplc="FFFFFFFF" w:tentative="1">
      <w:start w:val="1"/>
      <w:numFmt w:val="lowerLetter"/>
      <w:lvlText w:val="%5."/>
      <w:lvlJc w:val="left"/>
      <w:pPr>
        <w:tabs>
          <w:tab w:val="num" w:pos="3697"/>
        </w:tabs>
        <w:ind w:left="3697" w:hanging="360"/>
      </w:pPr>
    </w:lvl>
    <w:lvl w:ilvl="5" w:tplc="FFFFFFFF" w:tentative="1">
      <w:start w:val="1"/>
      <w:numFmt w:val="lowerRoman"/>
      <w:lvlText w:val="%6."/>
      <w:lvlJc w:val="right"/>
      <w:pPr>
        <w:tabs>
          <w:tab w:val="num" w:pos="4417"/>
        </w:tabs>
        <w:ind w:left="4417" w:hanging="180"/>
      </w:pPr>
    </w:lvl>
    <w:lvl w:ilvl="6" w:tplc="FFFFFFFF" w:tentative="1">
      <w:start w:val="1"/>
      <w:numFmt w:val="decimal"/>
      <w:lvlText w:val="%7."/>
      <w:lvlJc w:val="left"/>
      <w:pPr>
        <w:tabs>
          <w:tab w:val="num" w:pos="5137"/>
        </w:tabs>
        <w:ind w:left="5137" w:hanging="360"/>
      </w:pPr>
    </w:lvl>
    <w:lvl w:ilvl="7" w:tplc="FFFFFFFF" w:tentative="1">
      <w:start w:val="1"/>
      <w:numFmt w:val="lowerLetter"/>
      <w:lvlText w:val="%8."/>
      <w:lvlJc w:val="left"/>
      <w:pPr>
        <w:tabs>
          <w:tab w:val="num" w:pos="5857"/>
        </w:tabs>
        <w:ind w:left="5857" w:hanging="360"/>
      </w:pPr>
    </w:lvl>
    <w:lvl w:ilvl="8" w:tplc="FFFFFFFF" w:tentative="1">
      <w:start w:val="1"/>
      <w:numFmt w:val="lowerRoman"/>
      <w:lvlText w:val="%9."/>
      <w:lvlJc w:val="right"/>
      <w:pPr>
        <w:tabs>
          <w:tab w:val="num" w:pos="6577"/>
        </w:tabs>
        <w:ind w:left="6577" w:hanging="180"/>
      </w:pPr>
    </w:lvl>
  </w:abstractNum>
  <w:abstractNum w:abstractNumId="1" w15:restartNumberingAfterBreak="0">
    <w:nsid w:val="13AC6ABC"/>
    <w:multiLevelType w:val="hybridMultilevel"/>
    <w:tmpl w:val="E6D8AA4A"/>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FC09D9"/>
    <w:multiLevelType w:val="hybridMultilevel"/>
    <w:tmpl w:val="F54857BA"/>
    <w:lvl w:ilvl="0" w:tplc="49A6D8F0">
      <w:start w:val="1"/>
      <w:numFmt w:val="lowerRoman"/>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74764E3"/>
    <w:multiLevelType w:val="hybridMultilevel"/>
    <w:tmpl w:val="BBD69FA2"/>
    <w:lvl w:ilvl="0" w:tplc="49A6D8F0">
      <w:start w:val="1"/>
      <w:numFmt w:val="lowerRoman"/>
      <w:lvlText w:val="%1)"/>
      <w:lvlJc w:val="left"/>
      <w:pPr>
        <w:tabs>
          <w:tab w:val="num" w:pos="681"/>
        </w:tabs>
        <w:ind w:left="681" w:hanging="397"/>
      </w:pPr>
      <w:rPr>
        <w:rFonts w:hint="default"/>
        <w:color w:val="auto"/>
      </w:rPr>
    </w:lvl>
    <w:lvl w:ilvl="1" w:tplc="FFFFFFFF" w:tentative="1">
      <w:start w:val="1"/>
      <w:numFmt w:val="lowerLetter"/>
      <w:lvlText w:val="%2."/>
      <w:lvlJc w:val="left"/>
      <w:pPr>
        <w:tabs>
          <w:tab w:val="num" w:pos="1537"/>
        </w:tabs>
        <w:ind w:left="1537" w:hanging="360"/>
      </w:pPr>
    </w:lvl>
    <w:lvl w:ilvl="2" w:tplc="FFFFFFFF" w:tentative="1">
      <w:start w:val="1"/>
      <w:numFmt w:val="lowerRoman"/>
      <w:lvlText w:val="%3."/>
      <w:lvlJc w:val="right"/>
      <w:pPr>
        <w:tabs>
          <w:tab w:val="num" w:pos="2257"/>
        </w:tabs>
        <w:ind w:left="2257" w:hanging="180"/>
      </w:pPr>
    </w:lvl>
    <w:lvl w:ilvl="3" w:tplc="FFFFFFFF" w:tentative="1">
      <w:start w:val="1"/>
      <w:numFmt w:val="decimal"/>
      <w:lvlText w:val="%4."/>
      <w:lvlJc w:val="left"/>
      <w:pPr>
        <w:tabs>
          <w:tab w:val="num" w:pos="2977"/>
        </w:tabs>
        <w:ind w:left="2977" w:hanging="360"/>
      </w:pPr>
    </w:lvl>
    <w:lvl w:ilvl="4" w:tplc="FFFFFFFF" w:tentative="1">
      <w:start w:val="1"/>
      <w:numFmt w:val="lowerLetter"/>
      <w:lvlText w:val="%5."/>
      <w:lvlJc w:val="left"/>
      <w:pPr>
        <w:tabs>
          <w:tab w:val="num" w:pos="3697"/>
        </w:tabs>
        <w:ind w:left="3697" w:hanging="360"/>
      </w:pPr>
    </w:lvl>
    <w:lvl w:ilvl="5" w:tplc="FFFFFFFF" w:tentative="1">
      <w:start w:val="1"/>
      <w:numFmt w:val="lowerRoman"/>
      <w:lvlText w:val="%6."/>
      <w:lvlJc w:val="right"/>
      <w:pPr>
        <w:tabs>
          <w:tab w:val="num" w:pos="4417"/>
        </w:tabs>
        <w:ind w:left="4417" w:hanging="180"/>
      </w:pPr>
    </w:lvl>
    <w:lvl w:ilvl="6" w:tplc="FFFFFFFF" w:tentative="1">
      <w:start w:val="1"/>
      <w:numFmt w:val="decimal"/>
      <w:lvlText w:val="%7."/>
      <w:lvlJc w:val="left"/>
      <w:pPr>
        <w:tabs>
          <w:tab w:val="num" w:pos="5137"/>
        </w:tabs>
        <w:ind w:left="5137" w:hanging="360"/>
      </w:pPr>
    </w:lvl>
    <w:lvl w:ilvl="7" w:tplc="FFFFFFFF" w:tentative="1">
      <w:start w:val="1"/>
      <w:numFmt w:val="lowerLetter"/>
      <w:lvlText w:val="%8."/>
      <w:lvlJc w:val="left"/>
      <w:pPr>
        <w:tabs>
          <w:tab w:val="num" w:pos="5857"/>
        </w:tabs>
        <w:ind w:left="5857" w:hanging="360"/>
      </w:pPr>
    </w:lvl>
    <w:lvl w:ilvl="8" w:tplc="FFFFFFFF" w:tentative="1">
      <w:start w:val="1"/>
      <w:numFmt w:val="lowerRoman"/>
      <w:lvlText w:val="%9."/>
      <w:lvlJc w:val="right"/>
      <w:pPr>
        <w:tabs>
          <w:tab w:val="num" w:pos="6577"/>
        </w:tabs>
        <w:ind w:left="6577" w:hanging="180"/>
      </w:pPr>
    </w:lvl>
  </w:abstractNum>
  <w:abstractNum w:abstractNumId="4" w15:restartNumberingAfterBreak="0">
    <w:nsid w:val="4771104D"/>
    <w:multiLevelType w:val="hybridMultilevel"/>
    <w:tmpl w:val="0318F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BC1A3C"/>
    <w:multiLevelType w:val="hybridMultilevel"/>
    <w:tmpl w:val="3BC0C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39156675">
    <w:abstractNumId w:val="1"/>
  </w:num>
  <w:num w:numId="2" w16cid:durableId="530610452">
    <w:abstractNumId w:val="1"/>
  </w:num>
  <w:num w:numId="3" w16cid:durableId="391854520">
    <w:abstractNumId w:val="5"/>
  </w:num>
  <w:num w:numId="4" w16cid:durableId="374817252">
    <w:abstractNumId w:val="4"/>
  </w:num>
  <w:num w:numId="5" w16cid:durableId="33237630">
    <w:abstractNumId w:val="0"/>
  </w:num>
  <w:num w:numId="6" w16cid:durableId="1597328848">
    <w:abstractNumId w:val="3"/>
  </w:num>
  <w:num w:numId="7" w16cid:durableId="208406008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1D28"/>
    <w:rsid w:val="00007359"/>
    <w:rsid w:val="000148C5"/>
    <w:rsid w:val="00017448"/>
    <w:rsid w:val="00023F4C"/>
    <w:rsid w:val="000526EB"/>
    <w:rsid w:val="00057F10"/>
    <w:rsid w:val="00061BEF"/>
    <w:rsid w:val="000633A2"/>
    <w:rsid w:val="000672B2"/>
    <w:rsid w:val="00071EB4"/>
    <w:rsid w:val="0007289E"/>
    <w:rsid w:val="00074CA8"/>
    <w:rsid w:val="00077298"/>
    <w:rsid w:val="00095463"/>
    <w:rsid w:val="00095E9F"/>
    <w:rsid w:val="000A0114"/>
    <w:rsid w:val="000A58A1"/>
    <w:rsid w:val="000A6659"/>
    <w:rsid w:val="000B044E"/>
    <w:rsid w:val="000B0E6F"/>
    <w:rsid w:val="000B6DBB"/>
    <w:rsid w:val="000D0D4B"/>
    <w:rsid w:val="000D1159"/>
    <w:rsid w:val="000D2BF2"/>
    <w:rsid w:val="000D5870"/>
    <w:rsid w:val="000E1DF6"/>
    <w:rsid w:val="000F65C0"/>
    <w:rsid w:val="00131AED"/>
    <w:rsid w:val="00135B2B"/>
    <w:rsid w:val="001429F9"/>
    <w:rsid w:val="00143EFA"/>
    <w:rsid w:val="0014598C"/>
    <w:rsid w:val="00164428"/>
    <w:rsid w:val="00164E26"/>
    <w:rsid w:val="001744D1"/>
    <w:rsid w:val="00183CB6"/>
    <w:rsid w:val="00192DF2"/>
    <w:rsid w:val="001939BA"/>
    <w:rsid w:val="001A319C"/>
    <w:rsid w:val="001A63E1"/>
    <w:rsid w:val="001A6EB0"/>
    <w:rsid w:val="001A7DB6"/>
    <w:rsid w:val="001B1A2E"/>
    <w:rsid w:val="001B441D"/>
    <w:rsid w:val="001C3C15"/>
    <w:rsid w:val="001C5225"/>
    <w:rsid w:val="001C5A26"/>
    <w:rsid w:val="001C7067"/>
    <w:rsid w:val="001C7629"/>
    <w:rsid w:val="001E0219"/>
    <w:rsid w:val="001E752F"/>
    <w:rsid w:val="001F6359"/>
    <w:rsid w:val="00201A56"/>
    <w:rsid w:val="002025B3"/>
    <w:rsid w:val="002078C0"/>
    <w:rsid w:val="00213BE7"/>
    <w:rsid w:val="00214C40"/>
    <w:rsid w:val="00231A1D"/>
    <w:rsid w:val="00244120"/>
    <w:rsid w:val="0024584C"/>
    <w:rsid w:val="00282DAB"/>
    <w:rsid w:val="00286484"/>
    <w:rsid w:val="0029126E"/>
    <w:rsid w:val="00293F9F"/>
    <w:rsid w:val="002A2389"/>
    <w:rsid w:val="002C08E2"/>
    <w:rsid w:val="002C1794"/>
    <w:rsid w:val="002C2EDC"/>
    <w:rsid w:val="002D2FC5"/>
    <w:rsid w:val="002E6637"/>
    <w:rsid w:val="002E77E3"/>
    <w:rsid w:val="00300B52"/>
    <w:rsid w:val="00324778"/>
    <w:rsid w:val="00332947"/>
    <w:rsid w:val="00333EB4"/>
    <w:rsid w:val="00340BE8"/>
    <w:rsid w:val="003453FF"/>
    <w:rsid w:val="00345915"/>
    <w:rsid w:val="00346244"/>
    <w:rsid w:val="003500A1"/>
    <w:rsid w:val="00351F6B"/>
    <w:rsid w:val="00365D29"/>
    <w:rsid w:val="00374F22"/>
    <w:rsid w:val="003D2FFE"/>
    <w:rsid w:val="003D5F0A"/>
    <w:rsid w:val="003E70EC"/>
    <w:rsid w:val="003F0B3C"/>
    <w:rsid w:val="003F385A"/>
    <w:rsid w:val="003F5AF9"/>
    <w:rsid w:val="00400032"/>
    <w:rsid w:val="00414C40"/>
    <w:rsid w:val="0042394B"/>
    <w:rsid w:val="0044467B"/>
    <w:rsid w:val="0045301E"/>
    <w:rsid w:val="0045365E"/>
    <w:rsid w:val="004540B8"/>
    <w:rsid w:val="004552F7"/>
    <w:rsid w:val="00473B08"/>
    <w:rsid w:val="00473E72"/>
    <w:rsid w:val="00474B5F"/>
    <w:rsid w:val="00480F0B"/>
    <w:rsid w:val="004A3CE6"/>
    <w:rsid w:val="004A4A1D"/>
    <w:rsid w:val="004B2C9D"/>
    <w:rsid w:val="004B4A47"/>
    <w:rsid w:val="004C1AEC"/>
    <w:rsid w:val="004E3FBD"/>
    <w:rsid w:val="004E667D"/>
    <w:rsid w:val="004E6AF9"/>
    <w:rsid w:val="004F6C28"/>
    <w:rsid w:val="004F6DD8"/>
    <w:rsid w:val="00502F94"/>
    <w:rsid w:val="005031DF"/>
    <w:rsid w:val="0050363C"/>
    <w:rsid w:val="00506391"/>
    <w:rsid w:val="00517A3F"/>
    <w:rsid w:val="005267F0"/>
    <w:rsid w:val="0053037D"/>
    <w:rsid w:val="00533720"/>
    <w:rsid w:val="005372C0"/>
    <w:rsid w:val="005608EF"/>
    <w:rsid w:val="00561EC5"/>
    <w:rsid w:val="00571F48"/>
    <w:rsid w:val="005821C4"/>
    <w:rsid w:val="00594A34"/>
    <w:rsid w:val="00597314"/>
    <w:rsid w:val="005A61AF"/>
    <w:rsid w:val="005B1C57"/>
    <w:rsid w:val="005D0886"/>
    <w:rsid w:val="005D0D93"/>
    <w:rsid w:val="005D43D1"/>
    <w:rsid w:val="005E384D"/>
    <w:rsid w:val="005F2181"/>
    <w:rsid w:val="005F724B"/>
    <w:rsid w:val="00603EC9"/>
    <w:rsid w:val="00606705"/>
    <w:rsid w:val="00625DFF"/>
    <w:rsid w:val="0063072B"/>
    <w:rsid w:val="006519E8"/>
    <w:rsid w:val="00662891"/>
    <w:rsid w:val="006628B7"/>
    <w:rsid w:val="00675FCB"/>
    <w:rsid w:val="00690F76"/>
    <w:rsid w:val="00696012"/>
    <w:rsid w:val="006A0B87"/>
    <w:rsid w:val="006A6A85"/>
    <w:rsid w:val="006B3942"/>
    <w:rsid w:val="006C1B8B"/>
    <w:rsid w:val="006C3914"/>
    <w:rsid w:val="006C4D4C"/>
    <w:rsid w:val="006D0E7A"/>
    <w:rsid w:val="006D3648"/>
    <w:rsid w:val="006D754A"/>
    <w:rsid w:val="006E38C6"/>
    <w:rsid w:val="006E5A21"/>
    <w:rsid w:val="00716046"/>
    <w:rsid w:val="00717E8A"/>
    <w:rsid w:val="00733008"/>
    <w:rsid w:val="0074184E"/>
    <w:rsid w:val="00743829"/>
    <w:rsid w:val="00751C86"/>
    <w:rsid w:val="00755881"/>
    <w:rsid w:val="00755F8D"/>
    <w:rsid w:val="00784A42"/>
    <w:rsid w:val="007855AE"/>
    <w:rsid w:val="00796503"/>
    <w:rsid w:val="0079669A"/>
    <w:rsid w:val="007A024F"/>
    <w:rsid w:val="007A37A4"/>
    <w:rsid w:val="007A42EC"/>
    <w:rsid w:val="007B0CB6"/>
    <w:rsid w:val="007B1BBB"/>
    <w:rsid w:val="007B6C97"/>
    <w:rsid w:val="007D2BDA"/>
    <w:rsid w:val="007D56C8"/>
    <w:rsid w:val="007E3934"/>
    <w:rsid w:val="007E430C"/>
    <w:rsid w:val="007E7303"/>
    <w:rsid w:val="007E7AA4"/>
    <w:rsid w:val="00804C61"/>
    <w:rsid w:val="00817E0F"/>
    <w:rsid w:val="008212A0"/>
    <w:rsid w:val="0082172F"/>
    <w:rsid w:val="00827F49"/>
    <w:rsid w:val="00837F53"/>
    <w:rsid w:val="00837FA7"/>
    <w:rsid w:val="00846323"/>
    <w:rsid w:val="00850F6E"/>
    <w:rsid w:val="00855316"/>
    <w:rsid w:val="00857085"/>
    <w:rsid w:val="0086270A"/>
    <w:rsid w:val="00862DDC"/>
    <w:rsid w:val="00867CA3"/>
    <w:rsid w:val="00882D18"/>
    <w:rsid w:val="0088617A"/>
    <w:rsid w:val="00887BE6"/>
    <w:rsid w:val="008A19F1"/>
    <w:rsid w:val="008D1750"/>
    <w:rsid w:val="008D7800"/>
    <w:rsid w:val="008E0CFC"/>
    <w:rsid w:val="008E2910"/>
    <w:rsid w:val="008E4913"/>
    <w:rsid w:val="008F690E"/>
    <w:rsid w:val="00900464"/>
    <w:rsid w:val="0090100E"/>
    <w:rsid w:val="00912904"/>
    <w:rsid w:val="00921889"/>
    <w:rsid w:val="00925584"/>
    <w:rsid w:val="009303ED"/>
    <w:rsid w:val="0093767E"/>
    <w:rsid w:val="00960AE2"/>
    <w:rsid w:val="00972A02"/>
    <w:rsid w:val="0099517C"/>
    <w:rsid w:val="009A0937"/>
    <w:rsid w:val="009B2ECD"/>
    <w:rsid w:val="009B7914"/>
    <w:rsid w:val="009D17DE"/>
    <w:rsid w:val="009D30C0"/>
    <w:rsid w:val="009F430B"/>
    <w:rsid w:val="009F561C"/>
    <w:rsid w:val="00A144A3"/>
    <w:rsid w:val="00A160B2"/>
    <w:rsid w:val="00A16271"/>
    <w:rsid w:val="00A22721"/>
    <w:rsid w:val="00A23254"/>
    <w:rsid w:val="00A41E88"/>
    <w:rsid w:val="00A45751"/>
    <w:rsid w:val="00A55CBF"/>
    <w:rsid w:val="00A566E7"/>
    <w:rsid w:val="00A630BF"/>
    <w:rsid w:val="00A72DC9"/>
    <w:rsid w:val="00A73B25"/>
    <w:rsid w:val="00A77232"/>
    <w:rsid w:val="00A940D3"/>
    <w:rsid w:val="00A96FCA"/>
    <w:rsid w:val="00AA3C21"/>
    <w:rsid w:val="00AA4452"/>
    <w:rsid w:val="00AA4BE8"/>
    <w:rsid w:val="00AB7E48"/>
    <w:rsid w:val="00AC01E2"/>
    <w:rsid w:val="00AC0AAB"/>
    <w:rsid w:val="00AC5593"/>
    <w:rsid w:val="00AC7BA9"/>
    <w:rsid w:val="00AD70FE"/>
    <w:rsid w:val="00AE776B"/>
    <w:rsid w:val="00B0421D"/>
    <w:rsid w:val="00B0425E"/>
    <w:rsid w:val="00B161A9"/>
    <w:rsid w:val="00B21EEA"/>
    <w:rsid w:val="00B47A22"/>
    <w:rsid w:val="00B562B1"/>
    <w:rsid w:val="00B87E80"/>
    <w:rsid w:val="00B900E2"/>
    <w:rsid w:val="00B902AE"/>
    <w:rsid w:val="00B9118E"/>
    <w:rsid w:val="00B93DE8"/>
    <w:rsid w:val="00BC7689"/>
    <w:rsid w:val="00BD5C17"/>
    <w:rsid w:val="00BD6115"/>
    <w:rsid w:val="00BD684A"/>
    <w:rsid w:val="00BE2B88"/>
    <w:rsid w:val="00BF72C7"/>
    <w:rsid w:val="00C00A47"/>
    <w:rsid w:val="00C13B81"/>
    <w:rsid w:val="00C20FA2"/>
    <w:rsid w:val="00C2411E"/>
    <w:rsid w:val="00C24A81"/>
    <w:rsid w:val="00C32DAE"/>
    <w:rsid w:val="00C362B9"/>
    <w:rsid w:val="00C40E24"/>
    <w:rsid w:val="00C61B80"/>
    <w:rsid w:val="00C64697"/>
    <w:rsid w:val="00C85F88"/>
    <w:rsid w:val="00C92D9A"/>
    <w:rsid w:val="00C96EF5"/>
    <w:rsid w:val="00CC2663"/>
    <w:rsid w:val="00CD41F1"/>
    <w:rsid w:val="00CE1D3C"/>
    <w:rsid w:val="00CE357B"/>
    <w:rsid w:val="00CE4CCF"/>
    <w:rsid w:val="00CE6980"/>
    <w:rsid w:val="00CF0F17"/>
    <w:rsid w:val="00CF1560"/>
    <w:rsid w:val="00CF5370"/>
    <w:rsid w:val="00D03EA3"/>
    <w:rsid w:val="00D24092"/>
    <w:rsid w:val="00D25064"/>
    <w:rsid w:val="00D32B51"/>
    <w:rsid w:val="00D34668"/>
    <w:rsid w:val="00D3740E"/>
    <w:rsid w:val="00D40335"/>
    <w:rsid w:val="00D405F6"/>
    <w:rsid w:val="00D419E6"/>
    <w:rsid w:val="00D44272"/>
    <w:rsid w:val="00D56D80"/>
    <w:rsid w:val="00D66E98"/>
    <w:rsid w:val="00D82F57"/>
    <w:rsid w:val="00D841A5"/>
    <w:rsid w:val="00D84240"/>
    <w:rsid w:val="00D914D2"/>
    <w:rsid w:val="00D91E89"/>
    <w:rsid w:val="00DA25DB"/>
    <w:rsid w:val="00DB0791"/>
    <w:rsid w:val="00DC2C04"/>
    <w:rsid w:val="00DC5D82"/>
    <w:rsid w:val="00DC7B96"/>
    <w:rsid w:val="00DD4251"/>
    <w:rsid w:val="00DF30E7"/>
    <w:rsid w:val="00DF5D10"/>
    <w:rsid w:val="00E02B50"/>
    <w:rsid w:val="00E03F11"/>
    <w:rsid w:val="00E06DC8"/>
    <w:rsid w:val="00E1468F"/>
    <w:rsid w:val="00E220B5"/>
    <w:rsid w:val="00E23991"/>
    <w:rsid w:val="00E27748"/>
    <w:rsid w:val="00E32F3A"/>
    <w:rsid w:val="00E33D93"/>
    <w:rsid w:val="00E53623"/>
    <w:rsid w:val="00E54E13"/>
    <w:rsid w:val="00E609EF"/>
    <w:rsid w:val="00E6612A"/>
    <w:rsid w:val="00E8515B"/>
    <w:rsid w:val="00E90AFF"/>
    <w:rsid w:val="00E94032"/>
    <w:rsid w:val="00EA3534"/>
    <w:rsid w:val="00EC70CD"/>
    <w:rsid w:val="00EC7962"/>
    <w:rsid w:val="00ED48C9"/>
    <w:rsid w:val="00EF2F91"/>
    <w:rsid w:val="00F22AFB"/>
    <w:rsid w:val="00F23DA0"/>
    <w:rsid w:val="00F33EE3"/>
    <w:rsid w:val="00F4213B"/>
    <w:rsid w:val="00F65E9D"/>
    <w:rsid w:val="00F7686B"/>
    <w:rsid w:val="00F806B8"/>
    <w:rsid w:val="00F849ED"/>
    <w:rsid w:val="00F92398"/>
    <w:rsid w:val="00FC0D9D"/>
    <w:rsid w:val="00FC3F6A"/>
    <w:rsid w:val="00FD31A0"/>
    <w:rsid w:val="00FD5078"/>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ED5E"/>
  <w15:docId w15:val="{3F88F4F6-9EFD-4343-84AC-797910D8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 w:type="table" w:styleId="TableGrid">
    <w:name w:val="Table Grid"/>
    <w:basedOn w:val="TableNormal"/>
    <w:rsid w:val="00ED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744D1"/>
    <w:rPr>
      <w:rFonts w:ascii="Calibri" w:eastAsiaTheme="minorHAnsi" w:hAnsi="Calibri" w:cs="Calibri"/>
      <w:sz w:val="22"/>
      <w:szCs w:val="22"/>
    </w:rPr>
  </w:style>
  <w:style w:type="character" w:styleId="CommentReference">
    <w:name w:val="annotation reference"/>
    <w:basedOn w:val="DefaultParagraphFont"/>
    <w:semiHidden/>
    <w:unhideWhenUsed/>
    <w:rsid w:val="005608EF"/>
    <w:rPr>
      <w:sz w:val="16"/>
      <w:szCs w:val="16"/>
    </w:rPr>
  </w:style>
  <w:style w:type="paragraph" w:styleId="CommentText">
    <w:name w:val="annotation text"/>
    <w:basedOn w:val="Normal"/>
    <w:link w:val="CommentTextChar"/>
    <w:semiHidden/>
    <w:unhideWhenUsed/>
    <w:rsid w:val="005608EF"/>
    <w:rPr>
      <w:sz w:val="20"/>
    </w:rPr>
  </w:style>
  <w:style w:type="character" w:customStyle="1" w:styleId="CommentTextChar">
    <w:name w:val="Comment Text Char"/>
    <w:basedOn w:val="DefaultParagraphFont"/>
    <w:link w:val="CommentText"/>
    <w:semiHidden/>
    <w:rsid w:val="005608EF"/>
    <w:rPr>
      <w:rFonts w:ascii="Arial" w:hAnsi="Arial"/>
      <w:lang w:eastAsia="en-US"/>
    </w:rPr>
  </w:style>
  <w:style w:type="paragraph" w:styleId="CommentSubject">
    <w:name w:val="annotation subject"/>
    <w:basedOn w:val="CommentText"/>
    <w:next w:val="CommentText"/>
    <w:link w:val="CommentSubjectChar"/>
    <w:semiHidden/>
    <w:unhideWhenUsed/>
    <w:rsid w:val="005608EF"/>
    <w:rPr>
      <w:b/>
      <w:bCs/>
    </w:rPr>
  </w:style>
  <w:style w:type="character" w:customStyle="1" w:styleId="CommentSubjectChar">
    <w:name w:val="Comment Subject Char"/>
    <w:basedOn w:val="CommentTextChar"/>
    <w:link w:val="CommentSubject"/>
    <w:semiHidden/>
    <w:rsid w:val="005608EF"/>
    <w:rPr>
      <w:rFonts w:ascii="Arial" w:hAnsi="Arial"/>
      <w:b/>
      <w:bCs/>
      <w:lang w:eastAsia="en-US"/>
    </w:rPr>
  </w:style>
  <w:style w:type="paragraph" w:customStyle="1" w:styleId="xxmsonormal">
    <w:name w:val="x_xmsonormal"/>
    <w:basedOn w:val="Normal"/>
    <w:rsid w:val="00CF0F17"/>
    <w:rPr>
      <w:rFonts w:ascii="Calibri" w:eastAsiaTheme="minorHAnsi" w:hAnsi="Calibri" w:cs="Calibri"/>
      <w:sz w:val="22"/>
      <w:szCs w:val="22"/>
      <w:lang w:eastAsia="en-GB"/>
    </w:rPr>
  </w:style>
  <w:style w:type="paragraph" w:customStyle="1" w:styleId="xxmsolistparagraph">
    <w:name w:val="x_xmsolistparagraph"/>
    <w:basedOn w:val="Normal"/>
    <w:rsid w:val="00CF0F17"/>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5109">
      <w:bodyDiv w:val="1"/>
      <w:marLeft w:val="0"/>
      <w:marRight w:val="0"/>
      <w:marTop w:val="0"/>
      <w:marBottom w:val="0"/>
      <w:divBdr>
        <w:top w:val="none" w:sz="0" w:space="0" w:color="auto"/>
        <w:left w:val="none" w:sz="0" w:space="0" w:color="auto"/>
        <w:bottom w:val="none" w:sz="0" w:space="0" w:color="auto"/>
        <w:right w:val="none" w:sz="0" w:space="0" w:color="auto"/>
      </w:divBdr>
    </w:div>
    <w:div w:id="563880211">
      <w:bodyDiv w:val="1"/>
      <w:marLeft w:val="0"/>
      <w:marRight w:val="0"/>
      <w:marTop w:val="0"/>
      <w:marBottom w:val="0"/>
      <w:divBdr>
        <w:top w:val="none" w:sz="0" w:space="0" w:color="auto"/>
        <w:left w:val="none" w:sz="0" w:space="0" w:color="auto"/>
        <w:bottom w:val="none" w:sz="0" w:space="0" w:color="auto"/>
        <w:right w:val="none" w:sz="0" w:space="0" w:color="auto"/>
      </w:divBdr>
    </w:div>
    <w:div w:id="597374960">
      <w:bodyDiv w:val="1"/>
      <w:marLeft w:val="0"/>
      <w:marRight w:val="0"/>
      <w:marTop w:val="0"/>
      <w:marBottom w:val="0"/>
      <w:divBdr>
        <w:top w:val="none" w:sz="0" w:space="0" w:color="auto"/>
        <w:left w:val="none" w:sz="0" w:space="0" w:color="auto"/>
        <w:bottom w:val="none" w:sz="0" w:space="0" w:color="auto"/>
        <w:right w:val="none" w:sz="0" w:space="0" w:color="auto"/>
      </w:divBdr>
    </w:div>
    <w:div w:id="1011298415">
      <w:bodyDiv w:val="1"/>
      <w:marLeft w:val="0"/>
      <w:marRight w:val="0"/>
      <w:marTop w:val="0"/>
      <w:marBottom w:val="0"/>
      <w:divBdr>
        <w:top w:val="none" w:sz="0" w:space="0" w:color="auto"/>
        <w:left w:val="none" w:sz="0" w:space="0" w:color="auto"/>
        <w:bottom w:val="none" w:sz="0" w:space="0" w:color="auto"/>
        <w:right w:val="none" w:sz="0" w:space="0" w:color="auto"/>
      </w:divBdr>
    </w:div>
    <w:div w:id="1240865740">
      <w:bodyDiv w:val="1"/>
      <w:marLeft w:val="0"/>
      <w:marRight w:val="0"/>
      <w:marTop w:val="0"/>
      <w:marBottom w:val="0"/>
      <w:divBdr>
        <w:top w:val="none" w:sz="0" w:space="0" w:color="auto"/>
        <w:left w:val="none" w:sz="0" w:space="0" w:color="auto"/>
        <w:bottom w:val="none" w:sz="0" w:space="0" w:color="auto"/>
        <w:right w:val="none" w:sz="0" w:space="0" w:color="auto"/>
      </w:divBdr>
    </w:div>
    <w:div w:id="1595476129">
      <w:bodyDiv w:val="1"/>
      <w:marLeft w:val="0"/>
      <w:marRight w:val="0"/>
      <w:marTop w:val="0"/>
      <w:marBottom w:val="0"/>
      <w:divBdr>
        <w:top w:val="none" w:sz="0" w:space="0" w:color="auto"/>
        <w:left w:val="none" w:sz="0" w:space="0" w:color="auto"/>
        <w:bottom w:val="none" w:sz="0" w:space="0" w:color="auto"/>
        <w:right w:val="none" w:sz="0" w:space="0" w:color="auto"/>
      </w:divBdr>
    </w:div>
    <w:div w:id="1678921505">
      <w:bodyDiv w:val="1"/>
      <w:marLeft w:val="0"/>
      <w:marRight w:val="0"/>
      <w:marTop w:val="0"/>
      <w:marBottom w:val="0"/>
      <w:divBdr>
        <w:top w:val="none" w:sz="0" w:space="0" w:color="auto"/>
        <w:left w:val="none" w:sz="0" w:space="0" w:color="auto"/>
        <w:bottom w:val="none" w:sz="0" w:space="0" w:color="auto"/>
        <w:right w:val="none" w:sz="0" w:space="0" w:color="auto"/>
      </w:divBdr>
    </w:div>
    <w:div w:id="1800492951">
      <w:bodyDiv w:val="1"/>
      <w:marLeft w:val="0"/>
      <w:marRight w:val="0"/>
      <w:marTop w:val="0"/>
      <w:marBottom w:val="0"/>
      <w:divBdr>
        <w:top w:val="none" w:sz="0" w:space="0" w:color="auto"/>
        <w:left w:val="none" w:sz="0" w:space="0" w:color="auto"/>
        <w:bottom w:val="none" w:sz="0" w:space="0" w:color="auto"/>
        <w:right w:val="none" w:sz="0" w:space="0" w:color="auto"/>
      </w:divBdr>
    </w:div>
    <w:div w:id="2032757643">
      <w:bodyDiv w:val="1"/>
      <w:marLeft w:val="0"/>
      <w:marRight w:val="0"/>
      <w:marTop w:val="0"/>
      <w:marBottom w:val="0"/>
      <w:divBdr>
        <w:top w:val="none" w:sz="0" w:space="0" w:color="auto"/>
        <w:left w:val="none" w:sz="0" w:space="0" w:color="auto"/>
        <w:bottom w:val="none" w:sz="0" w:space="0" w:color="auto"/>
        <w:right w:val="none" w:sz="0" w:space="0" w:color="auto"/>
      </w:divBdr>
    </w:div>
    <w:div w:id="213301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la.Tobun@harrow.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Andrew Seaman5</cp:lastModifiedBy>
  <cp:revision>3</cp:revision>
  <cp:lastPrinted>2007-07-12T09:53:00Z</cp:lastPrinted>
  <dcterms:created xsi:type="dcterms:W3CDTF">2023-10-20T08:29:00Z</dcterms:created>
  <dcterms:modified xsi:type="dcterms:W3CDTF">2023-10-20T10:57:00Z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